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0D0" w:rsidRDefault="00F430D0" w:rsidP="00F430D0">
      <w:pPr>
        <w:suppressLineNumbers/>
        <w:rPr>
          <w:rFonts w:hint="cs"/>
          <w:rtl/>
        </w:rPr>
      </w:pPr>
    </w:p>
    <w:p w:rsidR="00F430D0" w:rsidRDefault="00F430D0" w:rsidP="00F430D0">
      <w:pPr>
        <w:pStyle w:val="a4"/>
        <w:jc w:val="center"/>
        <w:rPr>
          <w:rFonts w:cs="FrankRuehl"/>
          <w:noProof w:val="0"/>
          <w:sz w:val="28"/>
          <w:szCs w:val="28"/>
          <w:rtl/>
        </w:rPr>
      </w:pPr>
      <w:r>
        <w:rPr>
          <w:rFonts w:cs="FrankRuehl"/>
          <w:sz w:val="28"/>
          <w:szCs w:val="28"/>
          <w:rtl/>
        </w:rPr>
        <mc:AlternateContent>
          <mc:Choice Requires="wps">
            <w:drawing>
              <wp:anchor distT="0" distB="0" distL="114300" distR="114300" simplePos="0" relativeHeight="251658240" behindDoc="0" locked="0" layoutInCell="1" allowOverlap="1">
                <wp:simplePos x="0" y="0"/>
                <wp:positionH relativeFrom="margin">
                  <wp:posOffset>-1689948</wp:posOffset>
                </wp:positionH>
                <wp:positionV relativeFrom="margin">
                  <wp:posOffset>1155018</wp:posOffset>
                </wp:positionV>
                <wp:extent cx="14035377" cy="616488"/>
                <wp:effectExtent l="0" t="0" r="0" b="0"/>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14035377" cy="616488"/>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F430D0" w:rsidRDefault="00F430D0" w:rsidP="00F430D0">
                            <w:pPr>
                              <w:pStyle w:val="NormalWeb"/>
                              <w:bidi/>
                              <w:spacing w:before="0" w:beforeAutospacing="0" w:after="0" w:afterAutospacing="0"/>
                              <w:jc w:val="cente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133.05pt;margin-top:90.95pt;width:1105.15pt;height:48.55pt;rotation:-45;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" filled="f" stroked="f">
                <v:stroke joinstyle="round"/>
                <o:lock v:ext="edit" aspectratio="t" shapetype="t"/>
                <v:textbox>
                  <w:txbxContent>
                    <w:p w:rsidR="00F430D0" w:rsidRDefault="00F430D0" w:rsidP="00F430D0">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14:anchorId="09B06CB4" wp14:editId="5046EFD6">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F430D0" w:rsidTr="000479E9">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F430D0" w:rsidRPr="00F038D8" w:rsidRDefault="00F430D0" w:rsidP="000479E9">
                <w:pPr>
                  <w:pStyle w:val="a4"/>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F430D0" w:rsidTr="000479E9">
        <w:trPr>
          <w:trHeight w:val="337"/>
          <w:jc w:val="center"/>
        </w:trPr>
        <w:tc>
          <w:tcPr>
            <w:tcW w:w="5047" w:type="dxa"/>
          </w:tcPr>
          <w:p w:rsidR="00F430D0" w:rsidRDefault="00F430D0" w:rsidP="000479E9">
            <w:pPr>
              <w:rPr>
                <w:b/>
                <w:bCs/>
                <w:noProof w:val="0"/>
                <w:sz w:val="26"/>
                <w:szCs w:val="26"/>
                <w:rtl/>
              </w:rPr>
            </w:pPr>
          </w:p>
        </w:tc>
        <w:tc>
          <w:tcPr>
            <w:tcW w:w="3674" w:type="dxa"/>
          </w:tcPr>
          <w:p w:rsidR="00F430D0" w:rsidRDefault="00F430D0" w:rsidP="000479E9">
            <w:pPr>
              <w:pStyle w:val="a4"/>
              <w:jc w:val="right"/>
              <w:rPr>
                <w:b/>
                <w:bCs/>
                <w:noProof w:val="0"/>
                <w:sz w:val="26"/>
                <w:szCs w:val="26"/>
                <w:rtl/>
              </w:rPr>
            </w:pPr>
          </w:p>
        </w:tc>
      </w:tr>
      <w:tr w:rsidR="00F430D0" w:rsidTr="000479E9">
        <w:trPr>
          <w:trHeight w:val="337"/>
          <w:jc w:val="center"/>
        </w:trPr>
        <w:tc>
          <w:tcPr>
            <w:tcW w:w="8721" w:type="dxa"/>
            <w:gridSpan w:val="2"/>
          </w:tcPr>
          <w:p w:rsidR="00F430D0" w:rsidRDefault="009C3056" w:rsidP="00F430D0">
            <w:pPr>
              <w:rPr>
                <w:b/>
                <w:bCs/>
                <w:noProof w:val="0"/>
                <w:sz w:val="26"/>
                <w:szCs w:val="26"/>
                <w:rtl/>
              </w:rPr>
            </w:pPr>
            <w:sdt>
              <w:sdtPr>
                <w:rPr>
                  <w:rtl/>
                </w:rPr>
                <w:alias w:val="1170"/>
                <w:tag w:val="1170"/>
                <w:id w:val="1066377040"/>
                <w:text w:multiLine="1"/>
              </w:sdtPr>
              <w:sdtEndPr/>
              <w:sdtContent>
                <w:proofErr w:type="spellStart"/>
                <w:r w:rsidR="00F430D0">
                  <w:rPr>
                    <w:b/>
                    <w:bCs/>
                    <w:noProof w:val="0"/>
                    <w:sz w:val="26"/>
                    <w:szCs w:val="26"/>
                    <w:rtl/>
                  </w:rPr>
                  <w:t>תה"ס</w:t>
                </w:r>
                <w:proofErr w:type="spellEnd"/>
              </w:sdtContent>
            </w:sdt>
            <w:r w:rsidR="00F430D0">
              <w:rPr>
                <w:b/>
                <w:bCs/>
                <w:noProof w:val="0"/>
                <w:sz w:val="26"/>
                <w:szCs w:val="26"/>
                <w:rtl/>
              </w:rPr>
              <w:t xml:space="preserve"> </w:t>
            </w:r>
            <w:bookmarkStart w:id="0" w:name="_GoBack"/>
            <w:sdt>
              <w:sdtPr>
                <w:rPr>
                  <w:rtl/>
                </w:rPr>
                <w:alias w:val="1171"/>
                <w:tag w:val="1171"/>
                <w:id w:val="257034231"/>
                <w:text w:multiLine="1"/>
              </w:sdtPr>
              <w:sdtEndPr/>
              <w:sdtContent>
                <w:r w:rsidR="00F430D0">
                  <w:rPr>
                    <w:b/>
                    <w:bCs/>
                    <w:noProof w:val="0"/>
                    <w:sz w:val="26"/>
                    <w:szCs w:val="26"/>
                    <w:rtl/>
                  </w:rPr>
                  <w:t>30392-09-22</w:t>
                </w:r>
              </w:sdtContent>
            </w:sdt>
            <w:bookmarkEnd w:id="0"/>
            <w:r w:rsidR="00F430D0">
              <w:rPr>
                <w:b/>
                <w:bCs/>
                <w:noProof w:val="0"/>
                <w:sz w:val="26"/>
                <w:szCs w:val="26"/>
                <w:rtl/>
              </w:rPr>
              <w:t xml:space="preserve"> ש</w:t>
            </w:r>
            <w:r w:rsidR="00F430D0">
              <w:rPr>
                <w:rFonts w:hint="cs"/>
                <w:b/>
                <w:bCs/>
                <w:noProof w:val="0"/>
                <w:sz w:val="26"/>
                <w:szCs w:val="26"/>
                <w:rtl/>
              </w:rPr>
              <w:t xml:space="preserve">. </w:t>
            </w:r>
            <w:r w:rsidR="00F430D0">
              <w:rPr>
                <w:b/>
                <w:bCs/>
                <w:noProof w:val="0"/>
                <w:sz w:val="26"/>
                <w:szCs w:val="26"/>
                <w:rtl/>
              </w:rPr>
              <w:t>נ' ש</w:t>
            </w:r>
            <w:r w:rsidR="00F430D0">
              <w:rPr>
                <w:rFonts w:hint="cs"/>
                <w:b/>
                <w:bCs/>
                <w:noProof w:val="0"/>
                <w:sz w:val="26"/>
                <w:szCs w:val="26"/>
                <w:rtl/>
              </w:rPr>
              <w:t>.</w:t>
            </w:r>
            <w:r w:rsidR="00F430D0">
              <w:rPr>
                <w:b/>
                <w:bCs/>
                <w:noProof w:val="0"/>
                <w:sz w:val="26"/>
                <w:szCs w:val="26"/>
                <w:rtl/>
              </w:rPr>
              <w:t>ש</w:t>
            </w:r>
          </w:p>
          <w:p w:rsidR="00F430D0" w:rsidRPr="007B7765" w:rsidRDefault="00F430D0" w:rsidP="000479E9">
            <w:pPr>
              <w:rPr>
                <w:b/>
                <w:bCs/>
                <w:noProof w:val="0"/>
                <w:sz w:val="2"/>
                <w:szCs w:val="2"/>
                <w:rtl/>
              </w:rPr>
            </w:pPr>
          </w:p>
          <w:p w:rsidR="00F430D0" w:rsidRDefault="00F430D0" w:rsidP="000479E9">
            <w:pPr>
              <w:rPr>
                <w:sz w:val="20"/>
                <w:szCs w:val="20"/>
                <w:rtl/>
              </w:rPr>
            </w:pPr>
            <w:r>
              <w:rPr>
                <w:rFonts w:hint="cs"/>
                <w:rtl/>
              </w:rPr>
              <w:t xml:space="preserve">                           </w:t>
            </w:r>
            <w:r>
              <w:rPr>
                <w:rFonts w:hint="cs"/>
                <w:sz w:val="20"/>
                <w:szCs w:val="20"/>
                <w:rtl/>
              </w:rPr>
              <w:t xml:space="preserve">                                       </w:t>
            </w:r>
          </w:p>
          <w:p w:rsidR="00F430D0" w:rsidRPr="00E1068A" w:rsidRDefault="00F430D0" w:rsidP="000479E9">
            <w:pPr>
              <w:rPr>
                <w:sz w:val="20"/>
                <w:szCs w:val="20"/>
                <w:rtl/>
              </w:rPr>
            </w:pPr>
          </w:p>
        </w:tc>
      </w:tr>
    </w:tbl>
    <w:p w:rsidR="00F430D0" w:rsidRDefault="00F430D0" w:rsidP="00F430D0">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430D0" w:rsidTr="000479E9">
        <w:trPr>
          <w:jc w:val="center"/>
        </w:trPr>
        <w:tc>
          <w:tcPr>
            <w:tcW w:w="743" w:type="dxa"/>
          </w:tcPr>
          <w:p w:rsidR="00F430D0" w:rsidRPr="00CF7F69" w:rsidRDefault="00F430D0" w:rsidP="000479E9">
            <w:pPr>
              <w:suppressLineNumbers/>
              <w:jc w:val="both"/>
              <w:rPr>
                <w:rFonts w:ascii="Arial" w:hAnsi="Arial"/>
                <w:b/>
                <w:bCs/>
                <w:sz w:val="26"/>
                <w:szCs w:val="26"/>
                <w:rtl/>
              </w:rPr>
            </w:pPr>
            <w:r w:rsidRPr="00CF7F69">
              <w:rPr>
                <w:rFonts w:ascii="Arial" w:hAnsi="Arial" w:hint="cs"/>
                <w:b/>
                <w:bCs/>
                <w:sz w:val="26"/>
                <w:szCs w:val="26"/>
                <w:rtl/>
              </w:rPr>
              <w:t>ב</w:t>
            </w:r>
            <w:r w:rsidRPr="00CF7F69">
              <w:rPr>
                <w:rFonts w:ascii="Arial" w:hAnsi="Arial"/>
                <w:b/>
                <w:bCs/>
                <w:sz w:val="26"/>
                <w:szCs w:val="26"/>
                <w:rtl/>
              </w:rPr>
              <w:t xml:space="preserve">פני </w:t>
            </w:r>
          </w:p>
        </w:tc>
        <w:tc>
          <w:tcPr>
            <w:tcW w:w="8077" w:type="dxa"/>
            <w:gridSpan w:val="2"/>
          </w:tcPr>
          <w:p w:rsidR="00F430D0" w:rsidRPr="00CF7F69" w:rsidRDefault="00F430D0" w:rsidP="000479E9">
            <w:pPr>
              <w:suppressLineNumbers/>
              <w:rPr>
                <w:rFonts w:ascii="Arial" w:hAnsi="Arial" w:cs="FrankRuehl"/>
                <w:sz w:val="26"/>
                <w:szCs w:val="26"/>
                <w:highlight w:val="yellow"/>
              </w:rPr>
            </w:pPr>
            <w:r w:rsidRPr="00CF7F69">
              <w:rPr>
                <w:rFonts w:ascii="Arial" w:hAnsi="Arial" w:hint="cs"/>
                <w:b/>
                <w:bCs/>
                <w:sz w:val="26"/>
                <w:szCs w:val="26"/>
                <w:rtl/>
              </w:rPr>
              <w:t>כב' השופט הבכיר, מרדכי (מוטי) לוי</w:t>
            </w:r>
          </w:p>
        </w:tc>
      </w:tr>
      <w:tr w:rsidR="00F430D0" w:rsidTr="000479E9">
        <w:trPr>
          <w:jc w:val="center"/>
        </w:trPr>
        <w:tc>
          <w:tcPr>
            <w:tcW w:w="3249" w:type="dxa"/>
            <w:gridSpan w:val="2"/>
          </w:tcPr>
          <w:p w:rsidR="00F430D0" w:rsidRDefault="00F430D0" w:rsidP="000479E9">
            <w:pPr>
              <w:suppressLineNumbers/>
              <w:rPr>
                <w:rFonts w:ascii="Arial" w:hAnsi="Arial"/>
                <w:b/>
                <w:bCs/>
                <w:noProof w:val="0"/>
                <w:sz w:val="26"/>
                <w:szCs w:val="26"/>
              </w:rPr>
            </w:pPr>
          </w:p>
          <w:p w:rsidR="00F430D0" w:rsidRDefault="00F430D0" w:rsidP="000479E9">
            <w:pPr>
              <w:suppressLineNumbers/>
              <w:rPr>
                <w:rFonts w:ascii="Arial" w:hAnsi="Arial"/>
                <w:b/>
                <w:bCs/>
                <w:noProof w:val="0"/>
                <w:sz w:val="26"/>
                <w:szCs w:val="26"/>
                <w:rtl/>
              </w:rPr>
            </w:pPr>
            <w:r>
              <w:rPr>
                <w:rFonts w:ascii="Arial" w:hAnsi="Arial" w:hint="cs"/>
                <w:b/>
                <w:bCs/>
                <w:noProof w:val="0"/>
                <w:sz w:val="26"/>
                <w:szCs w:val="26"/>
                <w:rtl/>
              </w:rPr>
              <w:t>מבקש</w:t>
            </w:r>
          </w:p>
        </w:tc>
        <w:tc>
          <w:tcPr>
            <w:tcW w:w="5571" w:type="dxa"/>
          </w:tcPr>
          <w:p w:rsidR="00F430D0" w:rsidRDefault="00F430D0" w:rsidP="000479E9">
            <w:pPr>
              <w:suppressLineNumbers/>
              <w:rPr>
                <w:rFonts w:ascii="Arial" w:hAnsi="Arial"/>
                <w:b/>
                <w:bCs/>
                <w:noProof w:val="0"/>
                <w:sz w:val="26"/>
                <w:szCs w:val="26"/>
                <w:rtl/>
              </w:rPr>
            </w:pPr>
          </w:p>
          <w:p w:rsidR="00F430D0" w:rsidRDefault="00F430D0" w:rsidP="00F430D0">
            <w:pPr>
              <w:suppressLineNumbers/>
              <w:rPr>
                <w:b/>
                <w:bCs/>
                <w:noProof w:val="0"/>
                <w:sz w:val="26"/>
                <w:szCs w:val="26"/>
                <w:rtl/>
              </w:rPr>
            </w:pPr>
            <w:r>
              <w:rPr>
                <w:rFonts w:ascii="Arial" w:hAnsi="Arial"/>
                <w:b/>
                <w:bCs/>
                <w:noProof w:val="0"/>
                <w:sz w:val="26"/>
                <w:szCs w:val="26"/>
                <w:rtl/>
              </w:rPr>
              <w:t>מ</w:t>
            </w:r>
            <w:r>
              <w:rPr>
                <w:rFonts w:ascii="Arial" w:hAnsi="Arial" w:hint="cs"/>
                <w:b/>
                <w:bCs/>
                <w:noProof w:val="0"/>
                <w:sz w:val="26"/>
                <w:szCs w:val="26"/>
                <w:rtl/>
              </w:rPr>
              <w:t>.</w:t>
            </w:r>
            <w:r>
              <w:rPr>
                <w:rFonts w:ascii="Arial" w:hAnsi="Arial"/>
                <w:b/>
                <w:bCs/>
                <w:noProof w:val="0"/>
                <w:sz w:val="26"/>
                <w:szCs w:val="26"/>
                <w:rtl/>
              </w:rPr>
              <w:t>ש</w:t>
            </w:r>
          </w:p>
          <w:p w:rsidR="00F430D0" w:rsidRPr="00CF7F69" w:rsidRDefault="00F430D0" w:rsidP="000479E9">
            <w:pPr>
              <w:suppressLineNumbers/>
              <w:rPr>
                <w:noProof w:val="0"/>
              </w:rPr>
            </w:pPr>
            <w:r>
              <w:rPr>
                <w:rFonts w:hint="cs"/>
                <w:noProof w:val="0"/>
                <w:rtl/>
              </w:rPr>
              <w:t xml:space="preserve">מיוצג ע"י עוה"ד יאיר סלע  ואח' </w:t>
            </w:r>
          </w:p>
        </w:tc>
      </w:tr>
      <w:tr w:rsidR="00F430D0" w:rsidTr="000479E9">
        <w:trPr>
          <w:jc w:val="center"/>
        </w:trPr>
        <w:tc>
          <w:tcPr>
            <w:tcW w:w="8820" w:type="dxa"/>
            <w:gridSpan w:val="3"/>
          </w:tcPr>
          <w:p w:rsidR="00F430D0" w:rsidRDefault="00F430D0" w:rsidP="000479E9">
            <w:pPr>
              <w:suppressLineNumbers/>
              <w:rPr>
                <w:rFonts w:ascii="Arial" w:hAnsi="Arial"/>
                <w:b/>
                <w:bCs/>
                <w:noProof w:val="0"/>
                <w:sz w:val="26"/>
                <w:szCs w:val="26"/>
                <w:rtl/>
              </w:rPr>
            </w:pPr>
          </w:p>
          <w:p w:rsidR="00F430D0" w:rsidRDefault="00F430D0" w:rsidP="000479E9">
            <w:pPr>
              <w:suppressLineNumbers/>
              <w:jc w:val="center"/>
              <w:rPr>
                <w:rFonts w:ascii="Arial" w:hAnsi="Arial"/>
                <w:b/>
                <w:bCs/>
                <w:noProof w:val="0"/>
                <w:sz w:val="26"/>
                <w:szCs w:val="26"/>
              </w:rPr>
            </w:pPr>
            <w:r>
              <w:rPr>
                <w:rFonts w:ascii="Arial" w:hAnsi="Arial"/>
                <w:b/>
                <w:bCs/>
                <w:noProof w:val="0"/>
                <w:sz w:val="26"/>
                <w:szCs w:val="26"/>
                <w:rtl/>
              </w:rPr>
              <w:t>נגד</w:t>
            </w:r>
          </w:p>
        </w:tc>
      </w:tr>
      <w:tr w:rsidR="00F430D0" w:rsidTr="000479E9">
        <w:trPr>
          <w:jc w:val="center"/>
        </w:trPr>
        <w:tc>
          <w:tcPr>
            <w:tcW w:w="3249" w:type="dxa"/>
            <w:gridSpan w:val="2"/>
          </w:tcPr>
          <w:p w:rsidR="00F430D0" w:rsidRDefault="00F430D0" w:rsidP="000479E9">
            <w:pPr>
              <w:suppressLineNumbers/>
              <w:rPr>
                <w:rFonts w:ascii="Arial" w:hAnsi="Arial"/>
                <w:b/>
                <w:bCs/>
                <w:noProof w:val="0"/>
                <w:sz w:val="26"/>
                <w:szCs w:val="26"/>
                <w:rtl/>
              </w:rPr>
            </w:pPr>
          </w:p>
          <w:p w:rsidR="00F430D0" w:rsidRDefault="00F430D0" w:rsidP="000479E9">
            <w:pPr>
              <w:suppressLineNumbers/>
              <w:rPr>
                <w:rFonts w:ascii="Arial" w:hAnsi="Arial"/>
                <w:b/>
                <w:bCs/>
                <w:noProof w:val="0"/>
                <w:sz w:val="26"/>
                <w:szCs w:val="26"/>
              </w:rPr>
            </w:pPr>
            <w:r>
              <w:rPr>
                <w:rFonts w:ascii="Arial" w:hAnsi="Arial" w:hint="cs"/>
                <w:b/>
                <w:bCs/>
                <w:noProof w:val="0"/>
                <w:sz w:val="26"/>
                <w:szCs w:val="26"/>
                <w:rtl/>
              </w:rPr>
              <w:t>משיבה</w:t>
            </w:r>
          </w:p>
        </w:tc>
        <w:tc>
          <w:tcPr>
            <w:tcW w:w="5571" w:type="dxa"/>
          </w:tcPr>
          <w:p w:rsidR="00F430D0" w:rsidRDefault="00F430D0" w:rsidP="000479E9">
            <w:pPr>
              <w:suppressLineNumbers/>
              <w:rPr>
                <w:rFonts w:ascii="Arial" w:hAnsi="Arial"/>
                <w:b/>
                <w:bCs/>
                <w:noProof w:val="0"/>
                <w:sz w:val="26"/>
                <w:szCs w:val="26"/>
                <w:rtl/>
              </w:rPr>
            </w:pPr>
          </w:p>
          <w:p w:rsidR="00F430D0" w:rsidRDefault="00F430D0" w:rsidP="00F430D0">
            <w:pPr>
              <w:suppressLineNumbers/>
              <w:rPr>
                <w:b/>
                <w:bCs/>
                <w:noProof w:val="0"/>
                <w:sz w:val="26"/>
                <w:szCs w:val="26"/>
                <w:rtl/>
              </w:rPr>
            </w:pPr>
            <w:r>
              <w:rPr>
                <w:rFonts w:ascii="Arial" w:hAnsi="Arial"/>
                <w:b/>
                <w:bCs/>
                <w:noProof w:val="0"/>
                <w:sz w:val="26"/>
                <w:szCs w:val="26"/>
                <w:rtl/>
              </w:rPr>
              <w:t>ע</w:t>
            </w:r>
            <w:r>
              <w:rPr>
                <w:rFonts w:ascii="Arial" w:hAnsi="Arial" w:hint="cs"/>
                <w:b/>
                <w:bCs/>
                <w:noProof w:val="0"/>
                <w:sz w:val="26"/>
                <w:szCs w:val="26"/>
                <w:rtl/>
              </w:rPr>
              <w:t>.</w:t>
            </w:r>
            <w:r>
              <w:rPr>
                <w:rFonts w:ascii="Arial" w:hAnsi="Arial"/>
                <w:b/>
                <w:bCs/>
                <w:noProof w:val="0"/>
                <w:sz w:val="26"/>
                <w:szCs w:val="26"/>
                <w:rtl/>
              </w:rPr>
              <w:t xml:space="preserve"> ש</w:t>
            </w:r>
          </w:p>
          <w:p w:rsidR="00F430D0" w:rsidRPr="00CF7F69" w:rsidRDefault="00F430D0" w:rsidP="000479E9">
            <w:pPr>
              <w:suppressLineNumbers/>
              <w:rPr>
                <w:noProof w:val="0"/>
                <w:rtl/>
              </w:rPr>
            </w:pPr>
            <w:r w:rsidRPr="00CF7F69">
              <w:rPr>
                <w:rFonts w:hint="cs"/>
                <w:noProof w:val="0"/>
                <w:rtl/>
              </w:rPr>
              <w:t xml:space="preserve">מיוצגת ע"י עוה"ד לורי </w:t>
            </w:r>
            <w:proofErr w:type="spellStart"/>
            <w:r w:rsidRPr="00CF7F69">
              <w:rPr>
                <w:rFonts w:hint="cs"/>
                <w:noProof w:val="0"/>
                <w:rtl/>
              </w:rPr>
              <w:t>גייזלר</w:t>
            </w:r>
            <w:proofErr w:type="spellEnd"/>
            <w:r w:rsidRPr="00CF7F69">
              <w:rPr>
                <w:rFonts w:hint="cs"/>
                <w:noProof w:val="0"/>
                <w:rtl/>
              </w:rPr>
              <w:t xml:space="preserve"> ואח' </w:t>
            </w:r>
          </w:p>
        </w:tc>
      </w:tr>
      <w:tr w:rsidR="00F430D0" w:rsidTr="000479E9">
        <w:trPr>
          <w:jc w:val="center"/>
        </w:trPr>
        <w:tc>
          <w:tcPr>
            <w:tcW w:w="8820" w:type="dxa"/>
            <w:gridSpan w:val="3"/>
          </w:tcPr>
          <w:p w:rsidR="00F430D0" w:rsidRDefault="00F430D0" w:rsidP="000479E9">
            <w:pPr>
              <w:suppressLineNumbers/>
              <w:rPr>
                <w:rFonts w:ascii="Arial" w:hAnsi="Arial"/>
                <w:b/>
                <w:bCs/>
                <w:noProof w:val="0"/>
                <w:sz w:val="26"/>
                <w:szCs w:val="26"/>
                <w:rtl/>
              </w:rPr>
            </w:pPr>
          </w:p>
        </w:tc>
      </w:tr>
    </w:tbl>
    <w:p w:rsidR="00F430D0" w:rsidRDefault="00F430D0" w:rsidP="00F430D0">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430D0" w:rsidRPr="00DE1E7D" w:rsidTr="000479E9">
        <w:trPr>
          <w:jc w:val="center"/>
        </w:trPr>
        <w:tc>
          <w:tcPr>
            <w:tcW w:w="8820" w:type="dxa"/>
          </w:tcPr>
          <w:p w:rsidR="00F430D0" w:rsidRDefault="00F430D0" w:rsidP="000479E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F430D0" w:rsidRPr="00CF7F69" w:rsidRDefault="00F430D0" w:rsidP="000479E9">
            <w:pPr>
              <w:bidi w:val="0"/>
              <w:jc w:val="center"/>
              <w:rPr>
                <w:rFonts w:ascii="Arial" w:hAnsi="Arial"/>
                <w:b/>
                <w:bCs/>
                <w:noProof w:val="0"/>
                <w:sz w:val="26"/>
                <w:szCs w:val="26"/>
                <w:u w:val="single"/>
                <w:rtl/>
              </w:rPr>
            </w:pPr>
            <w:r>
              <w:rPr>
                <w:rFonts w:ascii="Arial" w:hAnsi="Arial" w:hint="cs"/>
                <w:b/>
                <w:bCs/>
                <w:noProof w:val="0"/>
                <w:sz w:val="26"/>
                <w:szCs w:val="26"/>
                <w:u w:val="single"/>
                <w:rtl/>
              </w:rPr>
              <w:t>בבקשה בכתב למתן צו מניעה זמני</w:t>
            </w:r>
          </w:p>
          <w:p w:rsidR="00F430D0" w:rsidRPr="00D44968" w:rsidRDefault="00F430D0" w:rsidP="000479E9">
            <w:pPr>
              <w:bidi w:val="0"/>
              <w:jc w:val="center"/>
              <w:rPr>
                <w:rFonts w:ascii="Arial" w:hAnsi="Arial"/>
                <w:b/>
                <w:bCs/>
                <w:noProof w:val="0"/>
                <w:sz w:val="28"/>
                <w:szCs w:val="28"/>
                <w:u w:val="single"/>
              </w:rPr>
            </w:pPr>
          </w:p>
        </w:tc>
      </w:tr>
    </w:tbl>
    <w:p w:rsidR="00F430D0" w:rsidRPr="00CF7F69" w:rsidRDefault="00F430D0" w:rsidP="00F430D0">
      <w:pPr>
        <w:spacing w:line="360" w:lineRule="auto"/>
        <w:ind w:left="720" w:hanging="720"/>
        <w:jc w:val="both"/>
        <w:rPr>
          <w:rFonts w:ascii="David" w:hAnsi="David"/>
          <w:noProof w:val="0"/>
          <w:rtl/>
        </w:rPr>
      </w:pPr>
      <w:bookmarkStart w:id="1" w:name="NGCSBookmark"/>
      <w:bookmarkEnd w:id="1"/>
      <w:r w:rsidRPr="00CF7F69">
        <w:rPr>
          <w:rFonts w:ascii="David" w:hAnsi="David"/>
          <w:rtl/>
        </w:rPr>
        <w:t>1.</w:t>
      </w:r>
      <w:r>
        <w:rPr>
          <w:rFonts w:ascii="David" w:hAnsi="David"/>
          <w:rtl/>
        </w:rPr>
        <w:tab/>
      </w:r>
      <w:r w:rsidRPr="00CF7F69">
        <w:rPr>
          <w:rFonts w:ascii="David" w:hAnsi="David"/>
          <w:rtl/>
        </w:rPr>
        <w:t>לפני בקשה של המבקש העותר למתן צו מניעה אשר במסגרתו יורה בית המשפט למשיבה להפסיק לעסוק בבית המשותף לצדדים "כמספרה לכלבים ו/או כל שימוש אחר שאינו למגורים ו/או שאינו בהתאם לדין".  המבקש והמשיבה בני זוג לשעבר הגרושים לעת הזו האחד מהשנייה.</w:t>
      </w:r>
    </w:p>
    <w:p w:rsidR="00F430D0" w:rsidRPr="00CF7F69" w:rsidRDefault="00F430D0" w:rsidP="00F430D0">
      <w:pPr>
        <w:ind w:left="720" w:hanging="720"/>
        <w:rPr>
          <w:noProof w:val="0"/>
        </w:rPr>
      </w:pPr>
    </w:p>
    <w:p w:rsidR="00F430D0" w:rsidRDefault="00F430D0" w:rsidP="00F430D0">
      <w:pPr>
        <w:spacing w:line="360" w:lineRule="auto"/>
        <w:ind w:left="720" w:hanging="720"/>
        <w:jc w:val="both"/>
        <w:rPr>
          <w:rFonts w:ascii="David" w:hAnsi="David"/>
          <w:b/>
          <w:bCs/>
          <w:rtl/>
        </w:rPr>
      </w:pPr>
      <w:r>
        <w:rPr>
          <w:rFonts w:ascii="David" w:hAnsi="David"/>
          <w:b/>
          <w:bCs/>
          <w:u w:val="single"/>
          <w:rtl/>
        </w:rPr>
        <w:t>עיקר טענות המבקש</w:t>
      </w:r>
      <w:r>
        <w:rPr>
          <w:rFonts w:ascii="David" w:hAnsi="David"/>
          <w:b/>
          <w:bCs/>
          <w:rtl/>
        </w:rPr>
        <w:t>:</w:t>
      </w:r>
    </w:p>
    <w:p w:rsidR="00F430D0" w:rsidRDefault="00F430D0" w:rsidP="00F430D0">
      <w:pPr>
        <w:spacing w:line="360" w:lineRule="auto"/>
        <w:ind w:left="720" w:hanging="720"/>
        <w:jc w:val="both"/>
        <w:rPr>
          <w:rFonts w:ascii="David" w:hAnsi="David"/>
          <w:b/>
          <w:bCs/>
          <w:rtl/>
        </w:rPr>
      </w:pPr>
    </w:p>
    <w:p w:rsidR="00F430D0" w:rsidRDefault="00F430D0" w:rsidP="00F430D0">
      <w:pPr>
        <w:spacing w:line="360" w:lineRule="auto"/>
        <w:jc w:val="both"/>
        <w:rPr>
          <w:rFonts w:ascii="David" w:hAnsi="David"/>
          <w:rtl/>
        </w:rPr>
      </w:pPr>
      <w:r>
        <w:rPr>
          <w:rFonts w:ascii="David" w:hAnsi="David"/>
          <w:rtl/>
        </w:rPr>
        <w:t>2.</w:t>
      </w:r>
      <w:r>
        <w:rPr>
          <w:rFonts w:ascii="David" w:hAnsi="David"/>
          <w:rtl/>
        </w:rPr>
        <w:tab/>
        <w:t>המבקש סומך בקשתו על מספר אדנים:</w:t>
      </w:r>
    </w:p>
    <w:p w:rsidR="00F430D0" w:rsidRDefault="00F430D0" w:rsidP="00F430D0">
      <w:pPr>
        <w:spacing w:line="360" w:lineRule="auto"/>
        <w:jc w:val="both"/>
        <w:rPr>
          <w:rFonts w:ascii="David" w:hAnsi="David"/>
          <w:rtl/>
        </w:rPr>
      </w:pPr>
    </w:p>
    <w:p w:rsidR="00F430D0" w:rsidRPr="00CF7F69" w:rsidRDefault="00F430D0" w:rsidP="00F430D0">
      <w:pPr>
        <w:spacing w:line="360" w:lineRule="auto"/>
        <w:ind w:left="1440" w:hanging="720"/>
        <w:jc w:val="both"/>
        <w:rPr>
          <w:rFonts w:ascii="David" w:hAnsi="David"/>
          <w:rtl/>
        </w:rPr>
      </w:pPr>
      <w:r w:rsidRPr="00CF7F69">
        <w:rPr>
          <w:rFonts w:ascii="David" w:hAnsi="David"/>
          <w:rtl/>
        </w:rPr>
        <w:t>א.</w:t>
      </w:r>
      <w:r>
        <w:rPr>
          <w:rFonts w:ascii="David" w:hAnsi="David"/>
          <w:rtl/>
        </w:rPr>
        <w:tab/>
      </w:r>
      <w:r w:rsidRPr="00CF7F69">
        <w:rPr>
          <w:rFonts w:ascii="David" w:hAnsi="David"/>
          <w:rtl/>
        </w:rPr>
        <w:t>האדן האחד, בקשתו נסמכת על הסכם הגירושין שנחתם בין הצדדים (להלן-ההסכם). המבקש הפנה להוראות סעיף 7(ו) להסכם (צורף כנספח לתביעת המבקש) שם הוסכם, ש"...</w:t>
      </w:r>
      <w:r w:rsidRPr="00CF7F69">
        <w:rPr>
          <w:rFonts w:ascii="David" w:hAnsi="David"/>
          <w:b/>
          <w:bCs/>
          <w:rtl/>
        </w:rPr>
        <w:t>האישה לא תקיים פעילות בלתי חוקית בבית</w:t>
      </w:r>
      <w:r w:rsidRPr="00CF7F69">
        <w:rPr>
          <w:rFonts w:ascii="David" w:hAnsi="David"/>
          <w:rtl/>
        </w:rPr>
        <w:t xml:space="preserve">...". </w:t>
      </w:r>
    </w:p>
    <w:p w:rsidR="00F430D0" w:rsidRPr="00CF7F69" w:rsidRDefault="00F430D0" w:rsidP="00F430D0">
      <w:pPr>
        <w:ind w:left="1440" w:hanging="720"/>
        <w:rPr>
          <w:rtl/>
        </w:rPr>
      </w:pPr>
    </w:p>
    <w:p w:rsidR="00F430D0" w:rsidRDefault="00F430D0" w:rsidP="00F430D0">
      <w:pPr>
        <w:spacing w:line="360" w:lineRule="auto"/>
        <w:ind w:left="1440"/>
        <w:jc w:val="both"/>
        <w:rPr>
          <w:rFonts w:ascii="David" w:hAnsi="David"/>
          <w:rtl/>
        </w:rPr>
      </w:pPr>
      <w:r>
        <w:rPr>
          <w:rFonts w:ascii="David" w:hAnsi="David"/>
          <w:rtl/>
        </w:rPr>
        <w:t>יוער בהקשר זה שמהות התביעה שלפני היא תביעתו של המבקש לאכוף את אותו הסכם בעוד המשיבה מתנגדת לכך ותבעה חלוקה שונה של רכושם המשותף, כהגדרתה אותו. בהקשר זה טען המבקש שעל פי ההסכם שאת אכיפתו הוא מבקש סוכם שהוא ירכוש את חלקה של המשיבה בבית.</w:t>
      </w:r>
    </w:p>
    <w:p w:rsidR="00F430D0" w:rsidRDefault="00F430D0" w:rsidP="00F430D0">
      <w:pPr>
        <w:spacing w:line="360" w:lineRule="auto"/>
        <w:ind w:left="1440"/>
        <w:jc w:val="both"/>
        <w:rPr>
          <w:rFonts w:ascii="David" w:hAnsi="David"/>
          <w:rtl/>
        </w:rPr>
      </w:pPr>
    </w:p>
    <w:p w:rsidR="00F430D0" w:rsidRDefault="00F430D0" w:rsidP="00F430D0">
      <w:pPr>
        <w:spacing w:line="360" w:lineRule="auto"/>
        <w:ind w:left="1440"/>
        <w:jc w:val="both"/>
        <w:rPr>
          <w:rFonts w:ascii="David" w:hAnsi="David"/>
          <w:rtl/>
        </w:rPr>
      </w:pPr>
      <w:r>
        <w:rPr>
          <w:rFonts w:ascii="David" w:hAnsi="David"/>
          <w:rtl/>
        </w:rPr>
        <w:t xml:space="preserve">המשך העיסוק בניגוד לחוק מונע את אפשרות העברת הבעלות על שמו  על פי ההסכם.  </w:t>
      </w:r>
    </w:p>
    <w:p w:rsidR="00F430D0" w:rsidRDefault="00F430D0" w:rsidP="00F430D0">
      <w:pPr>
        <w:spacing w:line="360" w:lineRule="auto"/>
        <w:ind w:left="1440"/>
        <w:jc w:val="both"/>
        <w:rPr>
          <w:rFonts w:ascii="David" w:hAnsi="David"/>
          <w:rtl/>
        </w:rPr>
      </w:pPr>
    </w:p>
    <w:p w:rsidR="00F430D0" w:rsidRDefault="00F430D0" w:rsidP="00F430D0">
      <w:pPr>
        <w:spacing w:line="360" w:lineRule="auto"/>
        <w:ind w:left="1440" w:hanging="720"/>
        <w:jc w:val="both"/>
        <w:rPr>
          <w:rFonts w:ascii="David" w:hAnsi="David"/>
          <w:rtl/>
        </w:rPr>
      </w:pPr>
      <w:r>
        <w:rPr>
          <w:rFonts w:ascii="David" w:hAnsi="David"/>
          <w:rtl/>
        </w:rPr>
        <w:lastRenderedPageBreak/>
        <w:t>ב.</w:t>
      </w:r>
      <w:r>
        <w:rPr>
          <w:rFonts w:ascii="David" w:hAnsi="David"/>
          <w:rtl/>
        </w:rPr>
        <w:tab/>
        <w:t>האדן השני, הוא חששו הנטען של המבקש ש מעצם היותו בעל מחצית הזכויות בבית הצדדים הוא עשוי להיות חב בחבות פלילית, אזרחית וכספית בשל הפרתה של המשיבה את החוק.</w:t>
      </w:r>
    </w:p>
    <w:p w:rsidR="00F430D0" w:rsidRDefault="00F430D0" w:rsidP="00F430D0">
      <w:pPr>
        <w:spacing w:line="360" w:lineRule="auto"/>
        <w:ind w:left="1440" w:hanging="720"/>
        <w:jc w:val="both"/>
        <w:rPr>
          <w:rFonts w:ascii="David" w:hAnsi="David"/>
          <w:rtl/>
        </w:rPr>
      </w:pPr>
    </w:p>
    <w:p w:rsidR="00F430D0" w:rsidRDefault="00F430D0" w:rsidP="00F430D0">
      <w:pPr>
        <w:spacing w:line="360" w:lineRule="auto"/>
        <w:ind w:left="1440"/>
        <w:jc w:val="both"/>
        <w:rPr>
          <w:rFonts w:ascii="David" w:hAnsi="David"/>
          <w:rtl/>
        </w:rPr>
      </w:pPr>
      <w:r>
        <w:rPr>
          <w:rFonts w:ascii="David" w:hAnsi="David"/>
          <w:rtl/>
        </w:rPr>
        <w:t>המבקש צירף מכתב פניה של רמ"י  מיום 9/12/2018 שהופנה לעו"ד עמיקם פלד  בו נכתב "</w:t>
      </w:r>
      <w:r>
        <w:rPr>
          <w:rFonts w:ascii="David" w:hAnsi="David"/>
          <w:b/>
          <w:bCs/>
          <w:rtl/>
        </w:rPr>
        <w:t xml:space="preserve">מדוח מפקח משרדנו מיום ה-06/09/2018 נמצא כי מרשיך פולשים ליחידת שטח של 700 מ"ר בחלק מחלקה </w:t>
      </w:r>
      <w:r>
        <w:rPr>
          <w:rFonts w:ascii="David" w:hAnsi="David" w:hint="cs"/>
          <w:b/>
          <w:bCs/>
        </w:rPr>
        <w:t>XX</w:t>
      </w:r>
      <w:r>
        <w:rPr>
          <w:rFonts w:ascii="David" w:hAnsi="David"/>
          <w:b/>
          <w:bCs/>
          <w:rtl/>
        </w:rPr>
        <w:t xml:space="preserve"> בגוש </w:t>
      </w:r>
      <w:r>
        <w:rPr>
          <w:rFonts w:ascii="David" w:hAnsi="David" w:hint="cs"/>
          <w:b/>
          <w:bCs/>
        </w:rPr>
        <w:t>XXX</w:t>
      </w:r>
      <w:r>
        <w:rPr>
          <w:rFonts w:ascii="David" w:hAnsi="David"/>
          <w:b/>
          <w:bCs/>
          <w:rtl/>
        </w:rPr>
        <w:t xml:space="preserve"> בנוסף קיים שימוש חורג בסככת החניה הבנויה בחלק הצפון מזרחי של המגרש באמצעות הפעלת מספרה לכלבים "</w:t>
      </w:r>
      <w:r>
        <w:rPr>
          <w:rFonts w:ascii="David" w:hAnsi="David" w:hint="cs"/>
          <w:b/>
          <w:bCs/>
        </w:rPr>
        <w:t>XXX</w:t>
      </w:r>
      <w:r>
        <w:rPr>
          <w:rFonts w:ascii="David" w:hAnsi="David"/>
          <w:b/>
          <w:bCs/>
          <w:rtl/>
        </w:rPr>
        <w:t>". הנכם נדרשים לפנות את הפלישה והשימוש החורג, תוך 30 יום מיום קבלת מכתב זה</w:t>
      </w:r>
      <w:r>
        <w:rPr>
          <w:rFonts w:ascii="David" w:hAnsi="David"/>
          <w:rtl/>
        </w:rPr>
        <w:t xml:space="preserve">" במכתב הודע עוד שרמ"י שומרת על זכויותיה לנקוט הליכים משפטיים ולעמוד על תביעה לקבלת דמי שימוש ראויים. יוער בהקשר זה שהמבקש ציטט את המכתב האמור בבקשתו תוך השמטת טענת רמ"י בדבר הפלישה הנטענת. </w:t>
      </w:r>
    </w:p>
    <w:p w:rsidR="00F430D0" w:rsidRDefault="00F430D0" w:rsidP="00F430D0">
      <w:pPr>
        <w:spacing w:line="360" w:lineRule="auto"/>
        <w:ind w:left="1440"/>
        <w:jc w:val="both"/>
        <w:rPr>
          <w:rFonts w:ascii="David" w:hAnsi="David"/>
          <w:rtl/>
        </w:rPr>
      </w:pPr>
      <w:r>
        <w:rPr>
          <w:rFonts w:ascii="David" w:hAnsi="David"/>
          <w:rtl/>
        </w:rPr>
        <w:t>המבקש טען שכל יום שחולף "...</w:t>
      </w:r>
      <w:r>
        <w:rPr>
          <w:rFonts w:ascii="David" w:hAnsi="David"/>
          <w:b/>
          <w:bCs/>
          <w:rtl/>
        </w:rPr>
        <w:t>מגדיל הן את הסיכון והן את החיוב הכספי שהצדדים עשויים לקבל במסגרת תביעה כספית שתוגש ע"י רמ"י</w:t>
      </w:r>
      <w:r>
        <w:rPr>
          <w:rFonts w:ascii="David" w:hAnsi="David"/>
          <w:rtl/>
        </w:rPr>
        <w:t xml:space="preserve">...". </w:t>
      </w:r>
    </w:p>
    <w:p w:rsidR="00F430D0" w:rsidRDefault="00F430D0" w:rsidP="00F430D0">
      <w:pPr>
        <w:spacing w:line="360" w:lineRule="auto"/>
        <w:ind w:left="1440"/>
        <w:jc w:val="both"/>
        <w:rPr>
          <w:rFonts w:ascii="David" w:hAnsi="David"/>
          <w:rtl/>
        </w:rPr>
      </w:pPr>
    </w:p>
    <w:p w:rsidR="00F430D0" w:rsidRDefault="00F430D0" w:rsidP="00F430D0">
      <w:pPr>
        <w:spacing w:line="360" w:lineRule="auto"/>
        <w:ind w:left="1440"/>
        <w:jc w:val="both"/>
        <w:rPr>
          <w:rFonts w:ascii="David" w:hAnsi="David"/>
          <w:b/>
          <w:bCs/>
          <w:u w:val="single"/>
          <w:rtl/>
        </w:rPr>
      </w:pPr>
      <w:r>
        <w:rPr>
          <w:rFonts w:ascii="David" w:hAnsi="David"/>
          <w:rtl/>
        </w:rPr>
        <w:t>האדן השלישי נסמך על טיעוני המשיבה בכתב הגנתה:מאחר והמשיבה הכחישה בסעיף 10 לכתב הגנתה את הטענה לפעילות בלתי חוקית הרי "...</w:t>
      </w:r>
      <w:r>
        <w:rPr>
          <w:rFonts w:ascii="David" w:hAnsi="David"/>
          <w:b/>
          <w:bCs/>
          <w:u w:val="single"/>
          <w:rtl/>
        </w:rPr>
        <w:t>שאין לה כל התנגדות שיינתן צו כאמור</w:t>
      </w:r>
      <w:r>
        <w:rPr>
          <w:rFonts w:ascii="David" w:hAnsi="David"/>
          <w:rtl/>
        </w:rPr>
        <w:t>"  (הדגש בקו תחתי במקור). ואם היא כן מנהלת פעילות בלתי חוקית  "...</w:t>
      </w:r>
      <w:r>
        <w:rPr>
          <w:rFonts w:ascii="David" w:hAnsi="David"/>
          <w:b/>
          <w:bCs/>
          <w:u w:val="single"/>
          <w:rtl/>
        </w:rPr>
        <w:t>הרי שלא רק שטענתה בעניין זה שקרית, הרי היא פועלת בניגוד להוראות הדין</w:t>
      </w:r>
      <w:r>
        <w:rPr>
          <w:rFonts w:ascii="David" w:hAnsi="David"/>
          <w:rtl/>
        </w:rPr>
        <w:t>" הדגש בקו תחתי במקור).</w:t>
      </w:r>
    </w:p>
    <w:p w:rsidR="00F430D0" w:rsidRDefault="00F430D0" w:rsidP="00F430D0">
      <w:pPr>
        <w:spacing w:line="360" w:lineRule="auto"/>
        <w:ind w:left="1440"/>
        <w:jc w:val="both"/>
        <w:rPr>
          <w:rFonts w:ascii="David" w:hAnsi="David"/>
          <w:b/>
          <w:bCs/>
          <w:u w:val="single"/>
          <w:rtl/>
        </w:rPr>
      </w:pPr>
    </w:p>
    <w:p w:rsidR="00F430D0" w:rsidRDefault="00F430D0" w:rsidP="00F430D0">
      <w:pPr>
        <w:spacing w:line="360" w:lineRule="auto"/>
        <w:ind w:left="1440"/>
        <w:jc w:val="both"/>
        <w:rPr>
          <w:rFonts w:ascii="David" w:hAnsi="David"/>
          <w:b/>
          <w:bCs/>
          <w:u w:val="single"/>
          <w:rtl/>
        </w:rPr>
      </w:pPr>
    </w:p>
    <w:p w:rsidR="00F430D0" w:rsidRDefault="00F430D0" w:rsidP="00F430D0">
      <w:pPr>
        <w:spacing w:line="360" w:lineRule="auto"/>
        <w:ind w:left="84"/>
        <w:jc w:val="both"/>
        <w:rPr>
          <w:rFonts w:ascii="David" w:hAnsi="David"/>
          <w:b/>
          <w:bCs/>
          <w:u w:val="single"/>
          <w:rtl/>
        </w:rPr>
      </w:pPr>
      <w:r>
        <w:rPr>
          <w:rFonts w:ascii="David" w:hAnsi="David"/>
          <w:b/>
          <w:bCs/>
          <w:u w:val="single"/>
          <w:rtl/>
        </w:rPr>
        <w:t>עיקר טענות המשיבה</w:t>
      </w:r>
      <w:r>
        <w:rPr>
          <w:rFonts w:ascii="David" w:hAnsi="David"/>
          <w:b/>
          <w:bCs/>
          <w:rtl/>
        </w:rPr>
        <w:t>:</w:t>
      </w:r>
    </w:p>
    <w:p w:rsidR="00F430D0" w:rsidRDefault="00F430D0" w:rsidP="00F430D0">
      <w:pPr>
        <w:spacing w:line="360" w:lineRule="auto"/>
        <w:ind w:left="84"/>
        <w:jc w:val="both"/>
        <w:rPr>
          <w:rFonts w:ascii="David" w:hAnsi="David"/>
          <w:b/>
          <w:bCs/>
          <w:u w:val="single"/>
          <w:rtl/>
        </w:rPr>
      </w:pPr>
    </w:p>
    <w:p w:rsidR="00F430D0" w:rsidRDefault="00F430D0" w:rsidP="00F430D0">
      <w:pPr>
        <w:spacing w:line="276" w:lineRule="auto"/>
        <w:ind w:left="793" w:hanging="709"/>
        <w:jc w:val="both"/>
        <w:rPr>
          <w:rFonts w:ascii="David" w:hAnsi="David"/>
          <w:rtl/>
        </w:rPr>
      </w:pPr>
      <w:r>
        <w:rPr>
          <w:rFonts w:ascii="David" w:hAnsi="David"/>
          <w:rtl/>
        </w:rPr>
        <w:t>3.</w:t>
      </w:r>
      <w:r>
        <w:rPr>
          <w:rFonts w:ascii="David" w:hAnsi="David"/>
          <w:b/>
          <w:bCs/>
          <w:rtl/>
        </w:rPr>
        <w:tab/>
      </w:r>
      <w:r>
        <w:rPr>
          <w:rFonts w:ascii="David" w:hAnsi="David"/>
          <w:rtl/>
        </w:rPr>
        <w:t>א.</w:t>
      </w:r>
      <w:r>
        <w:rPr>
          <w:rFonts w:ascii="David" w:hAnsi="David"/>
          <w:rtl/>
        </w:rPr>
        <w:tab/>
        <w:t xml:space="preserve">המשיבה לא התפלאה על העיתוי של הגשת הבקשה שהוא בסמוך למועד הקבוע </w:t>
      </w:r>
    </w:p>
    <w:p w:rsidR="00F430D0" w:rsidRDefault="00F430D0" w:rsidP="00F430D0">
      <w:pPr>
        <w:spacing w:line="276" w:lineRule="auto"/>
        <w:ind w:left="793" w:firstLine="647"/>
        <w:jc w:val="both"/>
        <w:rPr>
          <w:rFonts w:ascii="David" w:hAnsi="David"/>
          <w:b/>
          <w:bCs/>
          <w:rtl/>
        </w:rPr>
      </w:pPr>
      <w:r>
        <w:rPr>
          <w:rFonts w:ascii="David" w:hAnsi="David"/>
          <w:rtl/>
        </w:rPr>
        <w:t>לשמיעת הוכחות ונועד ל"...</w:t>
      </w:r>
      <w:r>
        <w:rPr>
          <w:rFonts w:ascii="David" w:hAnsi="David"/>
          <w:b/>
          <w:bCs/>
          <w:rtl/>
        </w:rPr>
        <w:t>להציק למשיבה ולהטרידה"</w:t>
      </w:r>
      <w:r>
        <w:rPr>
          <w:rFonts w:ascii="David" w:hAnsi="David"/>
          <w:rtl/>
        </w:rPr>
        <w:t>.</w:t>
      </w:r>
      <w:r>
        <w:rPr>
          <w:rFonts w:ascii="David" w:hAnsi="David"/>
          <w:b/>
          <w:bCs/>
          <w:rtl/>
        </w:rPr>
        <w:t xml:space="preserve"> </w:t>
      </w:r>
    </w:p>
    <w:p w:rsidR="00F430D0" w:rsidRDefault="00F430D0" w:rsidP="00F430D0">
      <w:pPr>
        <w:spacing w:line="276" w:lineRule="auto"/>
        <w:ind w:left="793" w:firstLine="647"/>
        <w:jc w:val="both"/>
        <w:rPr>
          <w:rFonts w:ascii="David" w:hAnsi="David"/>
          <w:b/>
          <w:bCs/>
          <w:rtl/>
        </w:rPr>
      </w:pPr>
    </w:p>
    <w:p w:rsidR="00F430D0" w:rsidRDefault="00F430D0" w:rsidP="00F430D0">
      <w:pPr>
        <w:spacing w:line="360" w:lineRule="auto"/>
        <w:ind w:left="1440"/>
        <w:jc w:val="both"/>
        <w:rPr>
          <w:rFonts w:ascii="David" w:hAnsi="David"/>
          <w:rtl/>
        </w:rPr>
      </w:pPr>
      <w:r>
        <w:rPr>
          <w:rFonts w:ascii="David" w:hAnsi="David"/>
          <w:rtl/>
        </w:rPr>
        <w:t>יחד עם זאת טענה לשיהוי הניכר בהגשת הבקשה. טענה שמאז אושר ההסכם חלפו כ- 6 שנים והפנתה לתאריך של המכתב ש</w:t>
      </w:r>
      <w:r>
        <w:rPr>
          <w:rFonts w:ascii="David" w:hAnsi="David"/>
          <w:b/>
          <w:bCs/>
          <w:rtl/>
        </w:rPr>
        <w:t xml:space="preserve">"...הינו בכלל משנת 2018" </w:t>
      </w:r>
      <w:r>
        <w:rPr>
          <w:rFonts w:ascii="David" w:hAnsi="David"/>
          <w:rtl/>
        </w:rPr>
        <w:t xml:space="preserve">ואין בפי המבקש כל הסבר להגשת בקשתו רק עתה.  </w:t>
      </w:r>
    </w:p>
    <w:p w:rsidR="00F430D0" w:rsidRDefault="00F430D0" w:rsidP="00F430D0">
      <w:pPr>
        <w:spacing w:line="360" w:lineRule="auto"/>
        <w:ind w:left="1440"/>
        <w:jc w:val="both"/>
        <w:rPr>
          <w:rFonts w:ascii="David" w:hAnsi="David"/>
          <w:rtl/>
        </w:rPr>
      </w:pPr>
    </w:p>
    <w:p w:rsidR="00F430D0" w:rsidRDefault="00F430D0" w:rsidP="00F430D0">
      <w:pPr>
        <w:spacing w:line="360" w:lineRule="auto"/>
        <w:ind w:left="1440" w:hanging="720"/>
        <w:jc w:val="both"/>
        <w:rPr>
          <w:rFonts w:ascii="David" w:hAnsi="David"/>
          <w:rtl/>
        </w:rPr>
      </w:pPr>
      <w:r>
        <w:rPr>
          <w:rFonts w:ascii="David" w:hAnsi="David"/>
          <w:rtl/>
        </w:rPr>
        <w:t>ב.</w:t>
      </w:r>
      <w:r>
        <w:rPr>
          <w:rFonts w:ascii="David" w:hAnsi="David"/>
          <w:rtl/>
        </w:rPr>
        <w:tab/>
        <w:t>המשיבה טענה שהמבקש לא נהג על פי תקנה 49 (ה) לתקנות סדר הדין האזרחי תשע"ט-2018 ולא הגיש רשימת בקשות ואין בבקשתו הסבר כלשהו למחדלו. כך, טענה שאין בבקשה כל הסבר הכיצד אי מתן הצו יכביד על ביצוע ראוי של פסק הדין. עוד טענה בהקשר זה שהמבקש לא צירף ערבויות מתאימות, לא דן במאזן הנוחות  "...</w:t>
      </w:r>
      <w:r>
        <w:rPr>
          <w:rFonts w:ascii="David" w:hAnsi="David"/>
          <w:b/>
          <w:bCs/>
          <w:rtl/>
        </w:rPr>
        <w:t>שעה שעסקינן בפרנסתה היחידה של המשיבה</w:t>
      </w:r>
      <w:r>
        <w:rPr>
          <w:rFonts w:ascii="David" w:hAnsi="David"/>
          <w:rtl/>
        </w:rPr>
        <w:t>..." ובשים לב לכך יש להורות על דחיית הבקשה.</w:t>
      </w:r>
    </w:p>
    <w:p w:rsidR="00F430D0" w:rsidRDefault="00F430D0" w:rsidP="00F430D0">
      <w:pPr>
        <w:spacing w:line="360" w:lineRule="auto"/>
        <w:ind w:left="1440" w:hanging="720"/>
        <w:jc w:val="both"/>
        <w:rPr>
          <w:rFonts w:ascii="David" w:hAnsi="David"/>
          <w:rtl/>
        </w:rPr>
      </w:pPr>
    </w:p>
    <w:p w:rsidR="00F430D0" w:rsidRDefault="00F430D0" w:rsidP="00F430D0">
      <w:pPr>
        <w:spacing w:line="360" w:lineRule="auto"/>
        <w:ind w:left="1440" w:hanging="720"/>
        <w:jc w:val="both"/>
        <w:rPr>
          <w:rFonts w:ascii="David" w:hAnsi="David"/>
          <w:rtl/>
        </w:rPr>
      </w:pPr>
      <w:r>
        <w:rPr>
          <w:rFonts w:ascii="David" w:hAnsi="David"/>
          <w:rtl/>
        </w:rPr>
        <w:lastRenderedPageBreak/>
        <w:t>ג.</w:t>
      </w:r>
      <w:r>
        <w:rPr>
          <w:rFonts w:ascii="David" w:hAnsi="David"/>
          <w:rtl/>
        </w:rPr>
        <w:tab/>
        <w:t>לגופו של עניין טענה שהסכם עליו הוחתמה המשיבה הוא הסכם לרעתה הפנתה לדברי המותב הקודם בעניין זה בדיון מיום 16.2.23 וציינה שהתנהלות של המבקש היא זו שסיכלה את מימוש ההסכם בכך שהמבקש "</w:t>
      </w:r>
      <w:r>
        <w:rPr>
          <w:rFonts w:ascii="David" w:hAnsi="David"/>
          <w:b/>
          <w:bCs/>
          <w:rtl/>
        </w:rPr>
        <w:t>מיאן לשלם למשיבה המגיע לה לפי ההסכם סיכל ולא אפשר יציאת ההסכם אל הפועל וגרם לכך כי המשיבה נאלצה להישאר בבית ולהמשיך בלית ברירה לנהל מהחנייה את מספרת הכלבים מחניון הבית אותה ניהלה משם הרבה טרם נחתם ההסכם בין הצדדים והמבקש הוא זה שהשמיש החנייה ע"מ שהמשיבה תוכל לנהל משם מספרת כלבים</w:t>
      </w:r>
      <w:r>
        <w:rPr>
          <w:rFonts w:ascii="David" w:hAnsi="David"/>
          <w:rtl/>
        </w:rPr>
        <w:t>". טענה שכבר בדיון לפני המותב הקודם, כאמור, ביום 16.2.23 טען המבקש לעניין השימוש שעושה המשיבה בחנייה לצורך מספרת הכלבים  "</w:t>
      </w:r>
      <w:r>
        <w:rPr>
          <w:rFonts w:ascii="David" w:hAnsi="David"/>
          <w:b/>
          <w:bCs/>
          <w:rtl/>
        </w:rPr>
        <w:t>ו"מפרה את החוקים" אך מאז לא עשה מאום"</w:t>
      </w:r>
      <w:r>
        <w:rPr>
          <w:rFonts w:ascii="David" w:hAnsi="David"/>
          <w:rtl/>
        </w:rPr>
        <w:t>.</w:t>
      </w:r>
    </w:p>
    <w:p w:rsidR="00F430D0" w:rsidRDefault="00F430D0" w:rsidP="00F430D0">
      <w:pPr>
        <w:spacing w:line="360" w:lineRule="auto"/>
        <w:ind w:left="1440" w:hanging="720"/>
        <w:jc w:val="both"/>
        <w:rPr>
          <w:rFonts w:ascii="David" w:hAnsi="David"/>
          <w:rtl/>
        </w:rPr>
      </w:pPr>
    </w:p>
    <w:p w:rsidR="00F430D0" w:rsidRDefault="00F430D0" w:rsidP="00F430D0">
      <w:pPr>
        <w:spacing w:line="360" w:lineRule="auto"/>
        <w:ind w:left="1440" w:hanging="720"/>
        <w:jc w:val="both"/>
        <w:rPr>
          <w:rFonts w:ascii="David" w:hAnsi="David"/>
          <w:rtl/>
        </w:rPr>
      </w:pPr>
      <w:r>
        <w:rPr>
          <w:rFonts w:ascii="David" w:hAnsi="David"/>
          <w:rtl/>
        </w:rPr>
        <w:t>ד.</w:t>
      </w:r>
      <w:r>
        <w:rPr>
          <w:rFonts w:ascii="David" w:hAnsi="David"/>
          <w:rtl/>
        </w:rPr>
        <w:tab/>
        <w:t>עוד טענה המשיבה כי הגורם המשמעותי לאי קיומו של ההסכם הוא חריגות הבנייה בבית והמבקש נמנע מלהיפגש עם פקח לעניין חריגות הבנייה. מנגד, פנה למועצה ולרמ"י והתלונן על כך שהמשיבה מנהלת את המספרה וזאת על מנת להתנכל לה.  פקח מהמועצה פנה בעקבות התלונה אל המשיבה וראה שמדובר "...</w:t>
      </w:r>
      <w:r>
        <w:rPr>
          <w:rFonts w:ascii="David" w:hAnsi="David"/>
          <w:b/>
          <w:bCs/>
          <w:rtl/>
        </w:rPr>
        <w:t>בעסק ביתי קטן הודיע לה שלא יפעלו נגדה ובלבד שתשלם בעבור המספרה ארנונה של עסק ואכן המשיבה עושה כן והמועצה לא באה מאז בשום טענה כלפי המשיבה ו/או הצדדים ואף גורם לא פנה אל המשיבה בנושא שממילא יכול להיפתר באחת עם יתר הסוגיות</w:t>
      </w:r>
      <w:r>
        <w:rPr>
          <w:rFonts w:ascii="David" w:hAnsi="David"/>
          <w:rtl/>
        </w:rPr>
        <w:t>".</w:t>
      </w:r>
    </w:p>
    <w:p w:rsidR="00F430D0" w:rsidRDefault="00F430D0" w:rsidP="00F430D0">
      <w:pPr>
        <w:spacing w:line="360" w:lineRule="auto"/>
        <w:ind w:left="1440" w:hanging="720"/>
        <w:jc w:val="both"/>
        <w:rPr>
          <w:rFonts w:ascii="David" w:hAnsi="David"/>
          <w:rtl/>
        </w:rPr>
      </w:pPr>
    </w:p>
    <w:p w:rsidR="00F430D0" w:rsidRDefault="00F430D0" w:rsidP="00F430D0">
      <w:pPr>
        <w:spacing w:line="360" w:lineRule="auto"/>
        <w:ind w:left="1440" w:hanging="720"/>
        <w:jc w:val="both"/>
        <w:rPr>
          <w:rFonts w:ascii="David" w:hAnsi="David"/>
          <w:rtl/>
        </w:rPr>
      </w:pPr>
      <w:r>
        <w:rPr>
          <w:rFonts w:ascii="David" w:hAnsi="David"/>
          <w:rtl/>
        </w:rPr>
        <w:t xml:space="preserve">ה.  </w:t>
      </w:r>
      <w:r>
        <w:rPr>
          <w:rFonts w:ascii="David" w:hAnsi="David"/>
          <w:rtl/>
        </w:rPr>
        <w:tab/>
        <w:t>המשיבה טענה ש המבקש מיאן לשלם לה את המגיע לה על פי ההסכם "...</w:t>
      </w:r>
      <w:r>
        <w:rPr>
          <w:rFonts w:ascii="David" w:hAnsi="David"/>
          <w:b/>
          <w:bCs/>
          <w:rtl/>
        </w:rPr>
        <w:t>סיכל ולא אפשר יציאת ההסכם אל הפועל וגרם לכך שהמשיבה נאלצה להישאר בבית ולהמשיך בלית ברירה לנהל  מהחנייה את מספרת הכלבים מחניון הבית אותו ניהלה משם הרבה טרם נחתם ההסכם בין הצדדים והמבקש עצמו הוא זה שהשמיש את החנייה ע"מ שהמשיבה תוכל לנהל משם מספרת כלבים</w:t>
      </w:r>
      <w:r>
        <w:rPr>
          <w:rFonts w:ascii="David" w:hAnsi="David"/>
          <w:rtl/>
        </w:rPr>
        <w:t xml:space="preserve">" </w:t>
      </w:r>
      <w:r>
        <w:rPr>
          <w:rFonts w:ascii="David" w:hAnsi="David" w:hint="cs"/>
          <w:rtl/>
        </w:rPr>
        <w:t>.</w:t>
      </w:r>
    </w:p>
    <w:p w:rsidR="00F430D0" w:rsidRDefault="00F430D0" w:rsidP="00F430D0">
      <w:pPr>
        <w:spacing w:line="360" w:lineRule="auto"/>
        <w:ind w:left="1440" w:hanging="720"/>
        <w:jc w:val="both"/>
        <w:rPr>
          <w:rFonts w:ascii="David" w:hAnsi="David"/>
          <w:rtl/>
        </w:rPr>
      </w:pPr>
      <w:r>
        <w:rPr>
          <w:rFonts w:ascii="David" w:hAnsi="David"/>
          <w:rtl/>
        </w:rPr>
        <w:t xml:space="preserve"> </w:t>
      </w:r>
    </w:p>
    <w:p w:rsidR="00F430D0" w:rsidRDefault="00F430D0" w:rsidP="00F430D0">
      <w:pPr>
        <w:spacing w:line="360" w:lineRule="auto"/>
        <w:ind w:left="1438" w:hanging="645"/>
        <w:jc w:val="both"/>
        <w:rPr>
          <w:rFonts w:ascii="David" w:hAnsi="David"/>
          <w:rtl/>
        </w:rPr>
      </w:pPr>
      <w:r>
        <w:rPr>
          <w:rFonts w:ascii="David" w:hAnsi="David"/>
          <w:rtl/>
        </w:rPr>
        <w:t>ו.</w:t>
      </w:r>
      <w:r>
        <w:rPr>
          <w:rFonts w:ascii="David" w:hAnsi="David"/>
          <w:rtl/>
        </w:rPr>
        <w:tab/>
        <w:t>המשיבה צירפה לאחר תגובתה שני מסמכים: האחד, מכתב של מנהל מחלקת השמירה על הקרקע ברמ"י  מיום 29/5/2019 בעניין חריגות הבנייה שבבית. המכתב צורף לתיק. המכתב השני נושא תאריך 3/6/2019 – מכתב שלא צורף לתיק – והוא מכתב תשובתו של עו"ד עמיקם פלד למכתבו האמור של המפקח של רמ"י (מיום 29/5/19) במכתב תשובתו ביקש עו"ד עמיקם לקיים פגישה עם מפקח רמ"י "</w:t>
      </w:r>
      <w:r>
        <w:rPr>
          <w:rFonts w:ascii="David" w:hAnsi="David"/>
          <w:b/>
          <w:bCs/>
          <w:rtl/>
        </w:rPr>
        <w:t>על מנת לגבש הסדרה שתאפשר העברת הזכויות</w:t>
      </w:r>
      <w:r>
        <w:rPr>
          <w:rFonts w:ascii="David" w:hAnsi="David"/>
          <w:rtl/>
        </w:rPr>
        <w:t xml:space="preserve"> ...</w:t>
      </w:r>
      <w:r>
        <w:rPr>
          <w:rFonts w:ascii="David" w:hAnsi="David"/>
          <w:b/>
          <w:bCs/>
          <w:rtl/>
        </w:rPr>
        <w:t>ומ.ש. מעוניין לבצע הסדרה של החריגות</w:t>
      </w:r>
      <w:r>
        <w:rPr>
          <w:rFonts w:ascii="David" w:hAnsi="David"/>
          <w:rtl/>
        </w:rPr>
        <w:t xml:space="preserve"> "</w:t>
      </w:r>
      <w:r>
        <w:rPr>
          <w:rFonts w:ascii="David" w:hAnsi="David" w:hint="cs"/>
          <w:rtl/>
        </w:rPr>
        <w:t>.</w:t>
      </w:r>
    </w:p>
    <w:p w:rsidR="00F430D0" w:rsidRDefault="00F430D0" w:rsidP="00F430D0">
      <w:pPr>
        <w:spacing w:line="360" w:lineRule="auto"/>
        <w:ind w:left="1438" w:hanging="645"/>
        <w:jc w:val="both"/>
        <w:rPr>
          <w:rFonts w:ascii="David" w:hAnsi="David"/>
          <w:rtl/>
        </w:rPr>
      </w:pPr>
      <w:r>
        <w:rPr>
          <w:rFonts w:ascii="David" w:hAnsi="David"/>
          <w:rtl/>
        </w:rPr>
        <w:t xml:space="preserve"> </w:t>
      </w:r>
    </w:p>
    <w:p w:rsidR="00F430D0" w:rsidRDefault="00F430D0" w:rsidP="00F430D0">
      <w:pPr>
        <w:spacing w:line="360" w:lineRule="auto"/>
        <w:ind w:left="804" w:hanging="720"/>
        <w:jc w:val="both"/>
        <w:rPr>
          <w:rFonts w:ascii="David" w:hAnsi="David"/>
          <w:b/>
          <w:bCs/>
          <w:rtl/>
        </w:rPr>
      </w:pPr>
      <w:r>
        <w:rPr>
          <w:rFonts w:ascii="David" w:hAnsi="David"/>
          <w:b/>
          <w:bCs/>
          <w:u w:val="single"/>
          <w:rtl/>
        </w:rPr>
        <w:t>דיון והחלטה</w:t>
      </w:r>
      <w:r>
        <w:rPr>
          <w:rFonts w:ascii="David" w:hAnsi="David"/>
          <w:b/>
          <w:bCs/>
          <w:rtl/>
        </w:rPr>
        <w:t xml:space="preserve">: </w:t>
      </w:r>
    </w:p>
    <w:p w:rsidR="00F430D0" w:rsidRDefault="00F430D0" w:rsidP="00F430D0">
      <w:pPr>
        <w:spacing w:line="360" w:lineRule="auto"/>
        <w:ind w:left="804" w:hanging="720"/>
        <w:jc w:val="both"/>
        <w:rPr>
          <w:rFonts w:ascii="David" w:hAnsi="David"/>
          <w:b/>
          <w:bCs/>
          <w:rtl/>
        </w:rPr>
      </w:pPr>
    </w:p>
    <w:p w:rsidR="00F430D0" w:rsidRDefault="00F430D0" w:rsidP="00F430D0">
      <w:pPr>
        <w:spacing w:line="360" w:lineRule="auto"/>
        <w:ind w:left="804" w:hanging="720"/>
        <w:jc w:val="both"/>
        <w:rPr>
          <w:rFonts w:ascii="David" w:hAnsi="David"/>
          <w:rtl/>
        </w:rPr>
      </w:pPr>
      <w:r>
        <w:rPr>
          <w:rFonts w:ascii="David" w:hAnsi="David"/>
          <w:rtl/>
        </w:rPr>
        <w:t>4.</w:t>
      </w:r>
      <w:r>
        <w:rPr>
          <w:rFonts w:ascii="David" w:hAnsi="David"/>
          <w:rtl/>
        </w:rPr>
        <w:tab/>
        <w:t xml:space="preserve">על אתר יאמר שדין הבקשה להידחות. הקורא </w:t>
      </w:r>
      <w:r>
        <w:rPr>
          <w:rFonts w:ascii="David" w:hAnsi="David" w:hint="cs"/>
          <w:rtl/>
        </w:rPr>
        <w:t>קביעה זו</w:t>
      </w:r>
      <w:r>
        <w:rPr>
          <w:rFonts w:ascii="David" w:hAnsi="David"/>
          <w:rtl/>
        </w:rPr>
        <w:t xml:space="preserve"> יכול להרים גבה ולתהות האם בית המשפט מאשר עיסוק בניגוד לחוק? זה הרעיון העומד מאחורי הבקשה שכן בית המשפט ניצב לפני משוכה שמצד אחד אם ידחה </w:t>
      </w:r>
      <w:r>
        <w:rPr>
          <w:rFonts w:ascii="David" w:hAnsi="David" w:hint="cs"/>
          <w:rtl/>
        </w:rPr>
        <w:t xml:space="preserve">את </w:t>
      </w:r>
      <w:r>
        <w:rPr>
          <w:rFonts w:ascii="David" w:hAnsi="David"/>
          <w:rtl/>
        </w:rPr>
        <w:t xml:space="preserve">הבקשה הרי שלכאורה יש בכך מעין </w:t>
      </w:r>
      <w:r>
        <w:rPr>
          <w:rFonts w:ascii="David" w:hAnsi="David" w:hint="cs"/>
          <w:rtl/>
        </w:rPr>
        <w:lastRenderedPageBreak/>
        <w:t xml:space="preserve">מתן </w:t>
      </w:r>
      <w:r>
        <w:rPr>
          <w:rFonts w:ascii="David" w:hAnsi="David"/>
          <w:rtl/>
        </w:rPr>
        <w:t>גושפנקא להתנהלות בלתי חוקית של המשיבה</w:t>
      </w:r>
      <w:r>
        <w:rPr>
          <w:rFonts w:ascii="David" w:hAnsi="David" w:hint="cs"/>
          <w:rtl/>
        </w:rPr>
        <w:t xml:space="preserve">. מנגד, </w:t>
      </w:r>
      <w:r>
        <w:rPr>
          <w:rFonts w:ascii="David" w:hAnsi="David"/>
          <w:rtl/>
        </w:rPr>
        <w:t xml:space="preserve">אם ייעתר </w:t>
      </w:r>
      <w:r>
        <w:rPr>
          <w:rFonts w:ascii="David" w:hAnsi="David" w:hint="cs"/>
          <w:rtl/>
        </w:rPr>
        <w:t xml:space="preserve">לבקשה </w:t>
      </w:r>
      <w:r>
        <w:rPr>
          <w:rFonts w:ascii="David" w:hAnsi="David"/>
          <w:rtl/>
        </w:rPr>
        <w:t xml:space="preserve">הרי שדה פקטו </w:t>
      </w:r>
      <w:r>
        <w:rPr>
          <w:rFonts w:ascii="David" w:hAnsi="David" w:hint="cs"/>
          <w:rtl/>
        </w:rPr>
        <w:t xml:space="preserve">הוא </w:t>
      </w:r>
      <w:r>
        <w:rPr>
          <w:rFonts w:ascii="David" w:hAnsi="David"/>
          <w:rtl/>
        </w:rPr>
        <w:t xml:space="preserve">חורג מסמכותו בדיון בבקשה בהקשרו של תיק זה. </w:t>
      </w:r>
      <w:r w:rsidRPr="0045361B">
        <w:rPr>
          <w:rFonts w:ascii="David" w:hAnsi="David"/>
          <w:u w:val="single"/>
          <w:rtl/>
        </w:rPr>
        <w:t>למען הסר ספק המענה לתהייה שהוצגה לעיל ביחס למתן הכשר לפעולה שבניגוד לחוק היא לאו מוחלט</w:t>
      </w:r>
      <w:r>
        <w:rPr>
          <w:rFonts w:ascii="David" w:hAnsi="David"/>
          <w:rtl/>
        </w:rPr>
        <w:t>. אלא מאי שבית משפט זה אינו בעל הסמכות להורות על כך</w:t>
      </w:r>
      <w:r>
        <w:rPr>
          <w:rFonts w:ascii="David" w:hAnsi="David" w:hint="cs"/>
          <w:rtl/>
        </w:rPr>
        <w:t xml:space="preserve">. בית המשפט לא אמור לבוא בנעליה של רמ"י </w:t>
      </w:r>
      <w:r>
        <w:rPr>
          <w:rFonts w:ascii="David" w:hAnsi="David"/>
          <w:rtl/>
        </w:rPr>
        <w:t xml:space="preserve">ואינו בעל סמכות להחליף את שיקול דעתה של רמ"י </w:t>
      </w:r>
      <w:r>
        <w:rPr>
          <w:rFonts w:ascii="David" w:hAnsi="David" w:hint="cs"/>
          <w:rtl/>
        </w:rPr>
        <w:t xml:space="preserve">אם לנקוט בהליכים כלפי המשיבה אם לאו  תהא הסיבה להתנהלותה של רמ"י אשר תהא. </w:t>
      </w:r>
      <w:r>
        <w:rPr>
          <w:rFonts w:ascii="David" w:hAnsi="David"/>
          <w:rtl/>
        </w:rPr>
        <w:t>קביעה זו היא שמטה את הכף לדחיית הבקשה הן למהותה לרבות נימוקי המבקש להגשתה ו</w:t>
      </w:r>
      <w:r>
        <w:rPr>
          <w:rFonts w:ascii="David" w:hAnsi="David" w:hint="cs"/>
          <w:rtl/>
        </w:rPr>
        <w:t xml:space="preserve">כן </w:t>
      </w:r>
      <w:r>
        <w:rPr>
          <w:rFonts w:ascii="David" w:hAnsi="David"/>
          <w:rtl/>
        </w:rPr>
        <w:t xml:space="preserve">גם </w:t>
      </w:r>
      <w:r>
        <w:rPr>
          <w:rFonts w:ascii="David" w:hAnsi="David" w:hint="cs"/>
          <w:rtl/>
        </w:rPr>
        <w:t xml:space="preserve">בשל </w:t>
      </w:r>
      <w:r>
        <w:rPr>
          <w:rFonts w:ascii="David" w:hAnsi="David"/>
          <w:rtl/>
        </w:rPr>
        <w:t xml:space="preserve">עיתוי הגשתה. </w:t>
      </w:r>
    </w:p>
    <w:p w:rsidR="00F430D0" w:rsidRDefault="00F430D0" w:rsidP="00F430D0">
      <w:pPr>
        <w:spacing w:line="360" w:lineRule="auto"/>
        <w:ind w:left="804" w:hanging="720"/>
        <w:jc w:val="both"/>
        <w:rPr>
          <w:rFonts w:ascii="David" w:hAnsi="David"/>
          <w:rtl/>
        </w:rPr>
      </w:pPr>
    </w:p>
    <w:p w:rsidR="00F430D0" w:rsidRDefault="00F430D0" w:rsidP="00F430D0">
      <w:pPr>
        <w:spacing w:line="360" w:lineRule="auto"/>
        <w:ind w:left="804" w:hanging="720"/>
        <w:jc w:val="both"/>
        <w:rPr>
          <w:rFonts w:ascii="David" w:hAnsi="David"/>
          <w:rtl/>
        </w:rPr>
      </w:pPr>
      <w:r>
        <w:rPr>
          <w:rFonts w:ascii="David" w:hAnsi="David"/>
          <w:rtl/>
        </w:rPr>
        <w:t>5.</w:t>
      </w:r>
      <w:r>
        <w:rPr>
          <w:rFonts w:ascii="David" w:hAnsi="David"/>
          <w:rtl/>
        </w:rPr>
        <w:tab/>
        <w:t>אין מחלוקת ולא יכולה לקום מחלוקת שעיסוקה  של המשיבה בחניה ידוע לרמ"י  לפחות מאז המכתב מיום 9/12/2018  ורמ"י לא נקטה בשום פעולה. אין לפני כל ראיה שמדובר בפעולה "בלתי חוקית" כטענת המבקש. נהפוך הוא</w:t>
      </w:r>
      <w:r>
        <w:rPr>
          <w:rFonts w:ascii="David" w:hAnsi="David" w:hint="cs"/>
          <w:rtl/>
        </w:rPr>
        <w:t>.</w:t>
      </w:r>
      <w:r>
        <w:rPr>
          <w:rFonts w:ascii="David" w:hAnsi="David"/>
          <w:rtl/>
        </w:rPr>
        <w:t xml:space="preserve"> הראיה הנוגדת היא שהשימוש החריג</w:t>
      </w:r>
      <w:r>
        <w:rPr>
          <w:rFonts w:ascii="David" w:hAnsi="David" w:hint="cs"/>
          <w:rtl/>
        </w:rPr>
        <w:t>/האסור</w:t>
      </w:r>
      <w:r>
        <w:rPr>
          <w:rFonts w:ascii="David" w:hAnsi="David"/>
          <w:rtl/>
        </w:rPr>
        <w:t xml:space="preserve"> אושר על ידי </w:t>
      </w:r>
      <w:r>
        <w:rPr>
          <w:rFonts w:ascii="David" w:hAnsi="David" w:hint="cs"/>
          <w:rtl/>
        </w:rPr>
        <w:t xml:space="preserve">פקח </w:t>
      </w:r>
      <w:r>
        <w:rPr>
          <w:rFonts w:ascii="David" w:hAnsi="David"/>
          <w:rtl/>
        </w:rPr>
        <w:t xml:space="preserve">המועצה. אין לפני כל ראיה </w:t>
      </w:r>
      <w:r>
        <w:rPr>
          <w:rFonts w:ascii="David" w:hAnsi="David" w:hint="cs"/>
          <w:rtl/>
        </w:rPr>
        <w:t xml:space="preserve">שאסור למשיבה לעסוק בעיסוקה בחנייה באופן שלא ניתן להכשירו במיוחד לאור שתיקתה של רמ"י לפחות משנת 2018  ועל כן, וכמובהר, </w:t>
      </w:r>
      <w:r>
        <w:rPr>
          <w:rFonts w:ascii="David" w:hAnsi="David"/>
          <w:rtl/>
        </w:rPr>
        <w:t xml:space="preserve">איני נדרש לעסוק בכך. </w:t>
      </w:r>
    </w:p>
    <w:p w:rsidR="00F430D0" w:rsidRDefault="00F430D0" w:rsidP="00F430D0">
      <w:pPr>
        <w:spacing w:line="360" w:lineRule="auto"/>
        <w:ind w:left="804" w:hanging="720"/>
        <w:jc w:val="both"/>
        <w:rPr>
          <w:rFonts w:ascii="David" w:hAnsi="David"/>
          <w:rtl/>
        </w:rPr>
      </w:pPr>
    </w:p>
    <w:p w:rsidR="00F430D0" w:rsidRDefault="00F430D0" w:rsidP="00F430D0">
      <w:pPr>
        <w:spacing w:line="360" w:lineRule="auto"/>
        <w:ind w:left="804" w:hanging="720"/>
        <w:jc w:val="both"/>
        <w:rPr>
          <w:rFonts w:ascii="David" w:hAnsi="David"/>
          <w:rtl/>
        </w:rPr>
      </w:pPr>
      <w:r>
        <w:rPr>
          <w:rFonts w:ascii="David" w:hAnsi="David"/>
          <w:rtl/>
        </w:rPr>
        <w:t>6.</w:t>
      </w:r>
      <w:r>
        <w:rPr>
          <w:rFonts w:ascii="David" w:hAnsi="David"/>
          <w:rtl/>
        </w:rPr>
        <w:tab/>
        <w:t xml:space="preserve">ככל שסבור המבקש שהוא חשוף להליכים כנגדו בשל פעילות המשיבה ראוי שיתכבד ויפנה לגורמי האכיפה הרלוונטיים. איני נדרש לשאלות שמהותן במערכת היחסים שבין הצדדים לרמ"י </w:t>
      </w:r>
      <w:r>
        <w:rPr>
          <w:rFonts w:ascii="David" w:hAnsi="David" w:hint="cs"/>
          <w:rtl/>
        </w:rPr>
        <w:t xml:space="preserve">במיוחד </w:t>
      </w:r>
      <w:r>
        <w:rPr>
          <w:rFonts w:ascii="David" w:hAnsi="David"/>
          <w:rtl/>
        </w:rPr>
        <w:t xml:space="preserve">משעה שרמ"י אינה סבורה שעליה לנקוט בפעולה </w:t>
      </w:r>
      <w:r>
        <w:rPr>
          <w:rFonts w:ascii="David" w:hAnsi="David" w:hint="cs"/>
          <w:rtl/>
        </w:rPr>
        <w:t xml:space="preserve">כלשהי נגד המשיבה ועיסוקה </w:t>
      </w:r>
      <w:r>
        <w:rPr>
          <w:rFonts w:ascii="David" w:hAnsi="David"/>
          <w:rtl/>
        </w:rPr>
        <w:t xml:space="preserve">מטעמיה שלה שאינם מענייננו </w:t>
      </w:r>
      <w:r>
        <w:rPr>
          <w:rFonts w:ascii="David" w:hAnsi="David" w:hint="cs"/>
          <w:rtl/>
        </w:rPr>
        <w:t xml:space="preserve">של בית המשפט הזה במסגרת סכסוך בין בני הזוג. בית המשפט אינו אמור, כאמור, </w:t>
      </w:r>
      <w:r>
        <w:rPr>
          <w:rFonts w:ascii="David" w:hAnsi="David"/>
          <w:rtl/>
        </w:rPr>
        <w:t xml:space="preserve">לבוא בנעליה </w:t>
      </w:r>
      <w:r>
        <w:rPr>
          <w:rFonts w:ascii="David" w:hAnsi="David" w:hint="cs"/>
          <w:rtl/>
        </w:rPr>
        <w:t xml:space="preserve">של רמ"י </w:t>
      </w:r>
      <w:r>
        <w:rPr>
          <w:rFonts w:ascii="David" w:hAnsi="David"/>
          <w:rtl/>
        </w:rPr>
        <w:t>ולהחליף בעניין זה את שיקול דעתה</w:t>
      </w:r>
      <w:r>
        <w:rPr>
          <w:rFonts w:ascii="David" w:hAnsi="David" w:hint="cs"/>
          <w:rtl/>
        </w:rPr>
        <w:t xml:space="preserve"> במסגרת סכסוך בין הצדדים</w:t>
      </w:r>
      <w:r>
        <w:rPr>
          <w:rFonts w:ascii="David" w:hAnsi="David"/>
          <w:rtl/>
        </w:rPr>
        <w:t xml:space="preserve">. כך, </w:t>
      </w:r>
      <w:r>
        <w:rPr>
          <w:rFonts w:ascii="David" w:hAnsi="David" w:hint="cs"/>
          <w:rtl/>
        </w:rPr>
        <w:t>ומאותו טעם גם לא ניתן לקבל את בקשת המבקש המבקש בבקשתו להחליף א</w:t>
      </w:r>
      <w:r>
        <w:rPr>
          <w:rFonts w:ascii="David" w:hAnsi="David"/>
          <w:rtl/>
        </w:rPr>
        <w:t xml:space="preserve">ת שיקול דעתה של רמ"י בנקיטת הליכים </w:t>
      </w:r>
      <w:r>
        <w:rPr>
          <w:rFonts w:ascii="David" w:hAnsi="David" w:hint="cs"/>
          <w:rtl/>
        </w:rPr>
        <w:t xml:space="preserve">כנגד המשיבה </w:t>
      </w:r>
      <w:r>
        <w:rPr>
          <w:rFonts w:ascii="David" w:hAnsi="David"/>
          <w:rtl/>
        </w:rPr>
        <w:t>למנוע השימוש שעושה המשיבה בחנייה לעיסוקה</w:t>
      </w:r>
      <w:r>
        <w:rPr>
          <w:rFonts w:ascii="David" w:hAnsi="David" w:hint="cs"/>
          <w:rtl/>
        </w:rPr>
        <w:t xml:space="preserve">  במסגרת הסכסוך שלו עם המשיבה במנותק מרמ"י.</w:t>
      </w:r>
      <w:r>
        <w:rPr>
          <w:rFonts w:ascii="David" w:hAnsi="David"/>
          <w:rtl/>
        </w:rPr>
        <w:t xml:space="preserve">  </w:t>
      </w:r>
    </w:p>
    <w:p w:rsidR="00F430D0" w:rsidRDefault="00F430D0" w:rsidP="00F430D0">
      <w:pPr>
        <w:spacing w:line="360" w:lineRule="auto"/>
        <w:ind w:left="804" w:hanging="720"/>
        <w:jc w:val="both"/>
        <w:rPr>
          <w:rFonts w:ascii="David" w:hAnsi="David"/>
          <w:rtl/>
        </w:rPr>
      </w:pPr>
    </w:p>
    <w:p w:rsidR="00F430D0" w:rsidRDefault="00F430D0" w:rsidP="00F430D0">
      <w:pPr>
        <w:spacing w:line="360" w:lineRule="auto"/>
        <w:ind w:left="804" w:hanging="720"/>
        <w:jc w:val="both"/>
        <w:rPr>
          <w:rFonts w:ascii="David" w:hAnsi="David"/>
          <w:rtl/>
        </w:rPr>
      </w:pPr>
      <w:r>
        <w:rPr>
          <w:rFonts w:ascii="David" w:hAnsi="David"/>
          <w:rtl/>
        </w:rPr>
        <w:t>7.</w:t>
      </w:r>
      <w:r>
        <w:rPr>
          <w:rFonts w:ascii="David" w:hAnsi="David"/>
          <w:rtl/>
        </w:rPr>
        <w:tab/>
        <w:t xml:space="preserve">ויתמה השואל המבקש הציף 'חששות' לנזקים שייגרמו לו בשל התנהלות זו של המשיבה כבר לפני למעלה משנה וחצי, בעת הגשת התביעה שלו ומה השתנה לעת הזו? בהקשר ל'חששות' אלו </w:t>
      </w:r>
      <w:r>
        <w:rPr>
          <w:rFonts w:ascii="David" w:hAnsi="David" w:hint="cs"/>
          <w:rtl/>
        </w:rPr>
        <w:t xml:space="preserve">העולים רק עתה </w:t>
      </w:r>
      <w:r>
        <w:rPr>
          <w:rFonts w:ascii="David" w:hAnsi="David"/>
          <w:rtl/>
        </w:rPr>
        <w:t xml:space="preserve">ראוי לקבל את עמדת המשיבה ביחס לעיתוי הגשת הבקשה בסמוך למועד ההוכחות הקבוע בתיק.  צא ולמד. כאמור, המבקש העלה את </w:t>
      </w:r>
      <w:r>
        <w:rPr>
          <w:rFonts w:ascii="David" w:hAnsi="David" w:hint="cs"/>
          <w:rtl/>
        </w:rPr>
        <w:t xml:space="preserve">טענותיו כנגד עיסוקה של המשיבה בחנייה של הבית כבר </w:t>
      </w:r>
      <w:r>
        <w:rPr>
          <w:rFonts w:ascii="David" w:hAnsi="David"/>
          <w:rtl/>
        </w:rPr>
        <w:t xml:space="preserve"> בכתב </w:t>
      </w:r>
      <w:r>
        <w:rPr>
          <w:rFonts w:ascii="David" w:hAnsi="David" w:hint="cs"/>
          <w:rtl/>
        </w:rPr>
        <w:t>תביעתו</w:t>
      </w:r>
      <w:r>
        <w:rPr>
          <w:rFonts w:ascii="David" w:hAnsi="David"/>
          <w:rtl/>
        </w:rPr>
        <w:t>. ה'סכנה' הנשקפת למבקש עתה</w:t>
      </w:r>
      <w:r>
        <w:rPr>
          <w:rFonts w:ascii="David" w:hAnsi="David" w:hint="cs"/>
          <w:rtl/>
        </w:rPr>
        <w:t>,</w:t>
      </w:r>
      <w:r>
        <w:rPr>
          <w:rFonts w:ascii="David" w:hAnsi="David"/>
          <w:rtl/>
        </w:rPr>
        <w:t xml:space="preserve"> על פי בקשתו</w:t>
      </w:r>
      <w:r>
        <w:rPr>
          <w:rFonts w:ascii="David" w:hAnsi="David" w:hint="cs"/>
          <w:rtl/>
        </w:rPr>
        <w:t>,</w:t>
      </w:r>
      <w:r>
        <w:rPr>
          <w:rFonts w:ascii="David" w:hAnsi="David"/>
          <w:rtl/>
        </w:rPr>
        <w:t xml:space="preserve"> לא עלתה אם כך לעת הגשת הבקשה. המבקש לא נקט בפעולה מיד ובסמוך להגשת תביעתו וגם לא מיד לאחר הדיון שהתקיים בחודש 02/2022. אם כן מהו אותו זָרָז שלפתע מציף את חששו מפני הליכים שכבר היה מודע להם לפני כשנתיים ובחר במודע שלא לנקוט כל פעולה בעניין. </w:t>
      </w:r>
    </w:p>
    <w:p w:rsidR="00F430D0" w:rsidRDefault="00F430D0" w:rsidP="00F430D0">
      <w:pPr>
        <w:spacing w:line="360" w:lineRule="auto"/>
        <w:ind w:left="804" w:hanging="720"/>
        <w:jc w:val="both"/>
        <w:rPr>
          <w:rFonts w:ascii="David" w:hAnsi="David"/>
          <w:rtl/>
        </w:rPr>
      </w:pPr>
    </w:p>
    <w:p w:rsidR="00F430D0" w:rsidRPr="00A25C86" w:rsidRDefault="00F430D0" w:rsidP="00F430D0">
      <w:pPr>
        <w:spacing w:line="360" w:lineRule="auto"/>
        <w:ind w:left="804" w:hanging="720"/>
        <w:jc w:val="both"/>
        <w:rPr>
          <w:rFonts w:ascii="David" w:hAnsi="David"/>
          <w:rtl/>
        </w:rPr>
      </w:pPr>
      <w:r>
        <w:rPr>
          <w:rFonts w:ascii="David" w:hAnsi="David"/>
          <w:rtl/>
        </w:rPr>
        <w:t>8</w:t>
      </w:r>
      <w:r w:rsidRPr="00A25C86">
        <w:rPr>
          <w:rFonts w:ascii="David" w:hAnsi="David"/>
          <w:rtl/>
        </w:rPr>
        <w:t>.</w:t>
      </w:r>
      <w:r w:rsidRPr="00A25C86">
        <w:rPr>
          <w:rFonts w:ascii="David" w:hAnsi="David"/>
          <w:rtl/>
        </w:rPr>
        <w:tab/>
        <w:t xml:space="preserve">בפסק דינו  ב- </w:t>
      </w:r>
      <w:r w:rsidRPr="00A25C86">
        <w:rPr>
          <w:rFonts w:ascii="David" w:hAnsi="David"/>
          <w:u w:val="single"/>
          <w:rtl/>
        </w:rPr>
        <w:t xml:space="preserve">תמ"ש (ת"א) 6935-08-12 </w:t>
      </w:r>
      <w:r w:rsidRPr="00A25C86">
        <w:rPr>
          <w:rFonts w:ascii="David" w:hAnsi="David"/>
          <w:rtl/>
        </w:rPr>
        <w:t xml:space="preserve"> ניתח כבוד השופט שני את חובותיהם של בני זוג, גם לשעבר לנהוג בתום לב במימוש זכויותיהם הדיוניות.  מתוך הדברים יובאו ההפניות הבאות:</w:t>
      </w:r>
    </w:p>
    <w:p w:rsidR="00F430D0" w:rsidRPr="00A25C86" w:rsidRDefault="00F430D0" w:rsidP="00F430D0">
      <w:pPr>
        <w:spacing w:line="360" w:lineRule="auto"/>
        <w:ind w:left="1417" w:hanging="697"/>
        <w:jc w:val="both"/>
        <w:rPr>
          <w:rFonts w:ascii="David" w:hAnsi="David"/>
          <w:b/>
          <w:bCs/>
          <w:rtl/>
        </w:rPr>
      </w:pPr>
      <w:r w:rsidRPr="00A25C86">
        <w:rPr>
          <w:rFonts w:ascii="David" w:hAnsi="David"/>
          <w:rtl/>
        </w:rPr>
        <w:lastRenderedPageBreak/>
        <w:t>"</w:t>
      </w:r>
      <w:r w:rsidRPr="00A25C86">
        <w:rPr>
          <w:rFonts w:ascii="David" w:hAnsi="David"/>
          <w:b/>
          <w:bCs/>
          <w:rtl/>
        </w:rPr>
        <w:t>60.</w:t>
      </w:r>
      <w:r w:rsidRPr="00A25C86">
        <w:rPr>
          <w:rFonts w:ascii="David" w:hAnsi="David"/>
          <w:b/>
          <w:bCs/>
          <w:rtl/>
        </w:rPr>
        <w:tab/>
        <w:t>על חובותיהם של הורים ובני זוגם לשעבר בבואם לממש זכויותיהם הדיוניות אמר בית המשפט העליון ב</w:t>
      </w:r>
      <w:hyperlink r:id="rId5" w:history="1">
        <w:r w:rsidRPr="00A25C86">
          <w:rPr>
            <w:rStyle w:val="Hyperlink"/>
            <w:rFonts w:ascii="David" w:hAnsi="David"/>
            <w:b/>
            <w:bCs/>
            <w:rtl/>
          </w:rPr>
          <w:t>בע"מ 5939/04 פלוני נ' פלונית, פ"ד נט</w:t>
        </w:r>
      </w:hyperlink>
      <w:r w:rsidRPr="00A25C86">
        <w:rPr>
          <w:rFonts w:ascii="David" w:hAnsi="David"/>
          <w:b/>
          <w:bCs/>
          <w:rtl/>
        </w:rPr>
        <w:t>(1) 665, ע"י כב' השופט אליקים רובינשטיין:</w:t>
      </w:r>
    </w:p>
    <w:p w:rsidR="00F430D0" w:rsidRPr="00A25C86" w:rsidRDefault="00F430D0" w:rsidP="00F430D0">
      <w:pPr>
        <w:spacing w:line="360" w:lineRule="auto"/>
        <w:ind w:left="1417" w:hanging="1417"/>
        <w:jc w:val="both"/>
        <w:rPr>
          <w:rFonts w:ascii="David" w:hAnsi="David"/>
          <w:rtl/>
        </w:rPr>
      </w:pPr>
      <w:r w:rsidRPr="00A25C86">
        <w:rPr>
          <w:rFonts w:ascii="Arial" w:hAnsi="Arial"/>
          <w:b/>
          <w:bCs/>
          <w:rtl/>
        </w:rPr>
        <w:tab/>
      </w:r>
      <w:r w:rsidRPr="00A25C86">
        <w:rPr>
          <w:rFonts w:ascii="David" w:hAnsi="David"/>
          <w:b/>
          <w:bCs/>
          <w:rtl/>
        </w:rPr>
        <w:t xml:space="preserve">"בעיני, בצד כל אלה יש ביסוד הדברים ציפיה להגינות ביחסים בין בני אדם בכלל – נגזרת של תום לב החולש על המשפט הפרטי (ראו והשווה סעיפים 39 ו-61 </w:t>
      </w:r>
      <w:r w:rsidRPr="00A25C86">
        <w:rPr>
          <w:rFonts w:ascii="David" w:hAnsi="David"/>
          <w:b/>
          <w:bCs/>
          <w:u w:val="single"/>
          <w:rtl/>
        </w:rPr>
        <w:t>ל</w:t>
      </w:r>
      <w:hyperlink r:id="rId6" w:history="1">
        <w:r w:rsidRPr="00A25C86">
          <w:rPr>
            <w:rStyle w:val="Hyperlink"/>
            <w:rFonts w:ascii="David" w:hAnsi="David"/>
            <w:b/>
            <w:bCs/>
            <w:rtl/>
          </w:rPr>
          <w:t>חוק החוזים</w:t>
        </w:r>
      </w:hyperlink>
      <w:r w:rsidRPr="00A25C86">
        <w:rPr>
          <w:rFonts w:ascii="David" w:hAnsi="David"/>
          <w:b/>
          <w:bCs/>
          <w:rtl/>
        </w:rPr>
        <w:t xml:space="preserve"> (חלק כללי), התשל"ג-1973), בבחינת "אדם לאדם – אדם" (הנשיא ברק, </w:t>
      </w:r>
      <w:hyperlink r:id="rId7" w:history="1">
        <w:r w:rsidRPr="00A25C86">
          <w:rPr>
            <w:rStyle w:val="Hyperlink"/>
            <w:rFonts w:ascii="David" w:hAnsi="David"/>
            <w:b/>
            <w:bCs/>
            <w:rtl/>
          </w:rPr>
          <w:t>רע"א 6339/97 רוקר נ' סלומון, פ"ד נה</w:t>
        </w:r>
      </w:hyperlink>
      <w:r w:rsidRPr="00A25C86">
        <w:rPr>
          <w:rFonts w:ascii="David" w:hAnsi="David"/>
          <w:b/>
          <w:bCs/>
          <w:u w:val="single"/>
          <w:rtl/>
        </w:rPr>
        <w:t>(1) 199)</w:t>
      </w:r>
      <w:r w:rsidRPr="00A25C86">
        <w:rPr>
          <w:rFonts w:ascii="David" w:hAnsi="David"/>
          <w:b/>
          <w:bCs/>
          <w:rtl/>
        </w:rPr>
        <w:t xml:space="preserve">. זו גם תמציתו הערכית של הכלל "ועשית הישר והטוב" (דברים ו', י"ח)". </w:t>
      </w:r>
      <w:r w:rsidRPr="00A25C86">
        <w:rPr>
          <w:rFonts w:ascii="David" w:hAnsi="David"/>
          <w:rtl/>
        </w:rPr>
        <w:t>...</w:t>
      </w:r>
    </w:p>
    <w:p w:rsidR="00F430D0" w:rsidRPr="00A25C86" w:rsidRDefault="00F430D0" w:rsidP="00F430D0">
      <w:pPr>
        <w:tabs>
          <w:tab w:val="left" w:pos="6321"/>
        </w:tabs>
        <w:spacing w:line="360" w:lineRule="auto"/>
        <w:ind w:left="1417" w:firstLine="23"/>
        <w:jc w:val="both"/>
        <w:rPr>
          <w:rFonts w:ascii="David" w:hAnsi="David"/>
          <w:b/>
          <w:bCs/>
          <w:rtl/>
        </w:rPr>
      </w:pPr>
      <w:r w:rsidRPr="00A25C86">
        <w:rPr>
          <w:rFonts w:ascii="David" w:hAnsi="David"/>
          <w:b/>
          <w:bCs/>
          <w:rtl/>
        </w:rPr>
        <w:t xml:space="preserve">אותו חוזה אינו פוקע גם לעת גירושי אדם או פרידתו מבן זוגו ותומו אינו אלא כאשר ניתק החוט האחרון הקושר את השניים – כמשפחה. </w:t>
      </w:r>
      <w:r w:rsidRPr="00A25C86">
        <w:rPr>
          <w:rFonts w:ascii="David" w:hAnsi="David"/>
          <w:rtl/>
        </w:rPr>
        <w:t>...</w:t>
      </w:r>
    </w:p>
    <w:p w:rsidR="00F430D0" w:rsidRPr="00A25C86" w:rsidRDefault="00F430D0" w:rsidP="00F430D0">
      <w:pPr>
        <w:spacing w:line="360" w:lineRule="auto"/>
        <w:ind w:left="1417" w:hanging="502"/>
        <w:jc w:val="both"/>
        <w:rPr>
          <w:rFonts w:ascii="David" w:hAnsi="David"/>
          <w:b/>
          <w:bCs/>
          <w:rtl/>
        </w:rPr>
      </w:pPr>
      <w:r w:rsidRPr="00A25C86">
        <w:rPr>
          <w:rFonts w:ascii="David" w:hAnsi="David"/>
          <w:b/>
          <w:bCs/>
          <w:rtl/>
        </w:rPr>
        <w:t>63.</w:t>
      </w:r>
      <w:r w:rsidRPr="00A25C86">
        <w:rPr>
          <w:rFonts w:ascii="David" w:hAnsi="David"/>
          <w:b/>
          <w:bCs/>
          <w:rtl/>
        </w:rPr>
        <w:tab/>
        <w:t xml:space="preserve">הגיונם של הדברים הוא גם בכך שבן זוג לא תמיד יכול הוא ל"השתחרר" (כשהוא חפץ בכך) מנוכחות בן זוגו לשעבר בחייו, גם לאחר פירוד, ומשכך ממשיכה החובה לנהוג הגינות גם לאחר הגירושין. </w:t>
      </w:r>
    </w:p>
    <w:p w:rsidR="00F430D0" w:rsidRPr="00A25C86" w:rsidRDefault="00F430D0" w:rsidP="00F430D0">
      <w:pPr>
        <w:spacing w:line="360" w:lineRule="auto"/>
        <w:ind w:left="1417" w:hanging="502"/>
        <w:jc w:val="both"/>
        <w:rPr>
          <w:rFonts w:ascii="David" w:hAnsi="David"/>
          <w:rtl/>
        </w:rPr>
      </w:pPr>
      <w:r w:rsidRPr="00A25C86">
        <w:rPr>
          <w:rFonts w:ascii="David" w:hAnsi="David"/>
          <w:b/>
          <w:bCs/>
          <w:rtl/>
        </w:rPr>
        <w:t>64.</w:t>
      </w:r>
      <w:r w:rsidRPr="00A25C86">
        <w:rPr>
          <w:rFonts w:ascii="David" w:hAnsi="David"/>
          <w:b/>
          <w:bCs/>
          <w:rtl/>
        </w:rPr>
        <w:tab/>
        <w:t xml:space="preserve">ב"חוזה המשפחתי", לשיטתי,  מובנה איסור מכללא לעשות שימוש לרעה גם בזכויות דיוניות הניתנות לבן הזוג (ראה בר"ע 308/80, פ"ד ל"ה(3) 449). מכאן שאפילו זכות הקיימת בדין, לבעל דין, יכול ולא תזכה אותו בסעד, שכן יש לראות ביריבו צד הוגן ותם לב בנסיבות העניין (ראה </w:t>
      </w:r>
      <w:hyperlink r:id="rId8" w:history="1">
        <w:r w:rsidRPr="00A25C86">
          <w:rPr>
            <w:rStyle w:val="Hyperlink"/>
            <w:rFonts w:ascii="David" w:hAnsi="David"/>
            <w:b/>
            <w:bCs/>
            <w:rtl/>
          </w:rPr>
          <w:t>ע"א 1915/91 אסתר יעקובי נ' עזרא יעקובי, פ"ד מ"ט</w:t>
        </w:r>
      </w:hyperlink>
      <w:r w:rsidRPr="00A25C86">
        <w:rPr>
          <w:rFonts w:ascii="David" w:hAnsi="David"/>
          <w:b/>
          <w:bCs/>
          <w:rtl/>
        </w:rPr>
        <w:t>(3) 529) כל מקרה ונסיבותיו</w:t>
      </w:r>
      <w:r w:rsidRPr="00A25C86">
        <w:rPr>
          <w:rFonts w:ascii="David" w:hAnsi="David"/>
          <w:rtl/>
        </w:rPr>
        <w:t xml:space="preserve">.... </w:t>
      </w:r>
    </w:p>
    <w:p w:rsidR="00F430D0" w:rsidRPr="00A25C86" w:rsidRDefault="00F430D0" w:rsidP="00F430D0">
      <w:pPr>
        <w:spacing w:line="360" w:lineRule="auto"/>
        <w:ind w:left="1417" w:hanging="502"/>
        <w:jc w:val="both"/>
        <w:rPr>
          <w:rFonts w:ascii="David" w:hAnsi="David"/>
          <w:b/>
          <w:bCs/>
          <w:rtl/>
        </w:rPr>
      </w:pPr>
      <w:r w:rsidRPr="00A25C86">
        <w:rPr>
          <w:rFonts w:ascii="David" w:hAnsi="David"/>
          <w:b/>
          <w:bCs/>
          <w:rtl/>
        </w:rPr>
        <w:t>65</w:t>
      </w:r>
      <w:r w:rsidRPr="00A25C86">
        <w:rPr>
          <w:rFonts w:ascii="David" w:hAnsi="David"/>
          <w:rtl/>
        </w:rPr>
        <w:t>.</w:t>
      </w:r>
      <w:r w:rsidRPr="00A25C86">
        <w:rPr>
          <w:rFonts w:ascii="David" w:hAnsi="David"/>
          <w:rtl/>
        </w:rPr>
        <w:tab/>
      </w:r>
      <w:r w:rsidRPr="00A25C86">
        <w:rPr>
          <w:rFonts w:ascii="David" w:hAnsi="David"/>
          <w:b/>
          <w:bCs/>
          <w:rtl/>
        </w:rPr>
        <w:t xml:space="preserve">הפועל היוצא מדברי לעיל הוא שהחוזה המשפחתי מכיל "עקרון על" אשר התפתח, לפחות מאז חוקק </w:t>
      </w:r>
      <w:hyperlink r:id="rId9" w:history="1">
        <w:r w:rsidRPr="00A25C86">
          <w:rPr>
            <w:rStyle w:val="Hyperlink"/>
            <w:rFonts w:ascii="David" w:hAnsi="David"/>
            <w:b/>
            <w:bCs/>
            <w:rtl/>
          </w:rPr>
          <w:t>חוק החוזים</w:t>
        </w:r>
      </w:hyperlink>
      <w:r w:rsidRPr="00A25C86">
        <w:rPr>
          <w:rFonts w:ascii="David" w:hAnsi="David"/>
          <w:b/>
          <w:bCs/>
          <w:rtl/>
        </w:rPr>
        <w:t xml:space="preserve"> (חלק כללי), והשולל מכל וכל תכסיסנות אגב ניתנת וקבלת זכויות משפטיות (ועיין גם </w:t>
      </w:r>
      <w:hyperlink r:id="rId10" w:history="1">
        <w:r w:rsidRPr="00A25C86">
          <w:rPr>
            <w:rStyle w:val="Hyperlink"/>
            <w:rFonts w:ascii="David" w:hAnsi="David"/>
            <w:b/>
            <w:bCs/>
            <w:rtl/>
          </w:rPr>
          <w:t>בג"צ 4407/12</w:t>
        </w:r>
      </w:hyperlink>
      <w:r w:rsidRPr="00A25C86">
        <w:rPr>
          <w:rFonts w:ascii="David" w:hAnsi="David"/>
          <w:b/>
          <w:bCs/>
          <w:rtl/>
        </w:rPr>
        <w:t xml:space="preserve"> ממנו אביא בהמשך). </w:t>
      </w:r>
    </w:p>
    <w:p w:rsidR="00F430D0" w:rsidRPr="00A25C86" w:rsidRDefault="00F430D0" w:rsidP="00F430D0">
      <w:pPr>
        <w:spacing w:line="360" w:lineRule="auto"/>
        <w:ind w:left="1417" w:firstLine="23"/>
        <w:jc w:val="both"/>
        <w:rPr>
          <w:rFonts w:ascii="David" w:hAnsi="David"/>
          <w:b/>
          <w:bCs/>
          <w:rtl/>
        </w:rPr>
      </w:pPr>
      <w:r w:rsidRPr="00A25C86">
        <w:rPr>
          <w:rFonts w:ascii="David" w:hAnsi="David"/>
          <w:b/>
          <w:bCs/>
          <w:rtl/>
        </w:rPr>
        <w:t>כך למשל ב</w:t>
      </w:r>
      <w:hyperlink r:id="rId11" w:history="1">
        <w:r w:rsidRPr="00A25C86">
          <w:rPr>
            <w:rStyle w:val="Hyperlink"/>
            <w:rFonts w:ascii="David" w:hAnsi="David"/>
            <w:b/>
            <w:bCs/>
            <w:rtl/>
          </w:rPr>
          <w:t>ע"א 5258/98</w:t>
        </w:r>
      </w:hyperlink>
      <w:r w:rsidRPr="00A25C86">
        <w:rPr>
          <w:rFonts w:ascii="David" w:hAnsi="David"/>
          <w:b/>
          <w:bCs/>
          <w:rtl/>
        </w:rPr>
        <w:t xml:space="preserve"> </w:t>
      </w:r>
      <w:r w:rsidRPr="00A25C86">
        <w:rPr>
          <w:rFonts w:ascii="David" w:hAnsi="David" w:hint="cs"/>
          <w:b/>
          <w:bCs/>
          <w:u w:val="single"/>
          <w:rtl/>
        </w:rPr>
        <w:t>פלונית נ' פלוני</w:t>
      </w:r>
      <w:r w:rsidRPr="00A25C86">
        <w:rPr>
          <w:rFonts w:ascii="David" w:hAnsi="David" w:hint="cs"/>
          <w:b/>
          <w:bCs/>
          <w:rtl/>
        </w:rPr>
        <w:t xml:space="preserve"> (פורסם במאגרים) [פורסם בנבו] קבע כב' הנשיא ברק:</w:t>
      </w:r>
    </w:p>
    <w:p w:rsidR="00F430D0" w:rsidRPr="00A25C86" w:rsidRDefault="00F430D0" w:rsidP="00F430D0">
      <w:pPr>
        <w:spacing w:line="360" w:lineRule="auto"/>
        <w:ind w:left="1417" w:hanging="720"/>
        <w:jc w:val="both"/>
        <w:rPr>
          <w:rFonts w:ascii="David" w:hAnsi="David"/>
          <w:b/>
          <w:bCs/>
          <w:rtl/>
        </w:rPr>
      </w:pPr>
      <w:r w:rsidRPr="00A25C86">
        <w:rPr>
          <w:rFonts w:ascii="David" w:hAnsi="David"/>
          <w:rtl/>
        </w:rPr>
        <w:tab/>
      </w:r>
      <w:r w:rsidRPr="00A25C86">
        <w:rPr>
          <w:rFonts w:ascii="David" w:hAnsi="David"/>
          <w:b/>
          <w:bCs/>
          <w:rtl/>
        </w:rPr>
        <w:t xml:space="preserve">"דיני החוזים בישראל אינם נעצרים על סף הבית המשפחתי. המשפט אינו שולל תוקף משפטי מחוזים (אף חוזים משתמעים) המבוססים על אדנים רגשיים והנוצרים בנסיבות אינטימיות בי-אישיות". </w:t>
      </w:r>
    </w:p>
    <w:p w:rsidR="00F430D0" w:rsidRPr="00A25C86" w:rsidRDefault="00F430D0" w:rsidP="00F430D0">
      <w:pPr>
        <w:spacing w:line="360" w:lineRule="auto"/>
        <w:ind w:left="720" w:hanging="720"/>
        <w:jc w:val="both"/>
        <w:rPr>
          <w:rFonts w:ascii="David" w:hAnsi="David"/>
          <w:b/>
          <w:bCs/>
          <w:rtl/>
        </w:rPr>
      </w:pPr>
      <w:r w:rsidRPr="00A25C86">
        <w:rPr>
          <w:rFonts w:ascii="David" w:hAnsi="David"/>
          <w:b/>
          <w:bCs/>
          <w:rtl/>
        </w:rPr>
        <w:tab/>
      </w:r>
      <w:r w:rsidRPr="00A25C86">
        <w:rPr>
          <w:rFonts w:ascii="David" w:hAnsi="David"/>
          <w:b/>
          <w:bCs/>
          <w:rtl/>
        </w:rPr>
        <w:tab/>
        <w:t>ראו אף פסק דינה של כב' השופט מימון ב</w:t>
      </w:r>
      <w:hyperlink r:id="rId12" w:history="1">
        <w:r w:rsidRPr="00A25C86">
          <w:rPr>
            <w:rStyle w:val="Hyperlink"/>
            <w:rFonts w:ascii="David" w:hAnsi="David"/>
            <w:b/>
            <w:bCs/>
            <w:rtl/>
          </w:rPr>
          <w:t>תמ"ש (י-ם) 24760/08</w:t>
        </w:r>
      </w:hyperlink>
      <w:r w:rsidRPr="00A25C86">
        <w:rPr>
          <w:rFonts w:ascii="David" w:hAnsi="David"/>
          <w:b/>
          <w:bCs/>
          <w:rtl/>
        </w:rPr>
        <w:t xml:space="preserve"> </w:t>
      </w:r>
      <w:r w:rsidRPr="00A25C86">
        <w:rPr>
          <w:rFonts w:ascii="David" w:hAnsi="David" w:hint="cs"/>
          <w:b/>
          <w:bCs/>
          <w:u w:val="single"/>
          <w:rtl/>
        </w:rPr>
        <w:t>ש.ב.ר נ' ר.ר.</w:t>
      </w:r>
      <w:r w:rsidRPr="00A25C86">
        <w:rPr>
          <w:rFonts w:ascii="David" w:hAnsi="David" w:hint="cs"/>
          <w:b/>
          <w:bCs/>
          <w:rtl/>
        </w:rPr>
        <w:t xml:space="preserve"> (</w:t>
      </w:r>
      <w:r w:rsidRPr="00A25C86">
        <w:rPr>
          <w:rFonts w:ascii="David" w:hAnsi="David" w:hint="cs"/>
          <w:b/>
          <w:bCs/>
          <w:rtl/>
        </w:rPr>
        <w:tab/>
        <w:t>פורסם במאגרים) [פורסם בנבו], בו קבעה:</w:t>
      </w:r>
    </w:p>
    <w:p w:rsidR="00F430D0" w:rsidRPr="00A25C86" w:rsidRDefault="00F430D0" w:rsidP="00F430D0">
      <w:pPr>
        <w:spacing w:line="360" w:lineRule="auto"/>
        <w:ind w:left="1417" w:hanging="720"/>
        <w:jc w:val="both"/>
        <w:rPr>
          <w:rFonts w:ascii="David" w:hAnsi="David"/>
          <w:b/>
          <w:bCs/>
          <w:rtl/>
        </w:rPr>
      </w:pPr>
      <w:r w:rsidRPr="00A25C86">
        <w:rPr>
          <w:rFonts w:ascii="David" w:hAnsi="David"/>
          <w:b/>
          <w:bCs/>
          <w:rtl/>
        </w:rPr>
        <w:tab/>
        <w:t xml:space="preserve">"כאשר בני זוג מחליטים להתחתן הם מטילים "על עצמם מערכת של זכויות וחובות... בעשייתם פעולה משפטית האוצרת בחובה מערכת של חובות וזכויות, סוככת עליהם מטריית חובת תום הלב ופעולה בדרך מקובלת הקבועות בסעיף 61(ב) </w:t>
      </w:r>
      <w:r w:rsidRPr="00A25C86">
        <w:rPr>
          <w:rFonts w:ascii="David" w:hAnsi="David"/>
          <w:b/>
          <w:bCs/>
          <w:u w:val="single"/>
          <w:rtl/>
        </w:rPr>
        <w:t>ל</w:t>
      </w:r>
      <w:hyperlink r:id="rId13" w:history="1">
        <w:r w:rsidRPr="00A25C86">
          <w:rPr>
            <w:rStyle w:val="Hyperlink"/>
            <w:rFonts w:ascii="David" w:hAnsi="David"/>
            <w:b/>
            <w:bCs/>
            <w:rtl/>
          </w:rPr>
          <w:t>חוק החוזים</w:t>
        </w:r>
      </w:hyperlink>
      <w:r w:rsidRPr="00A25C86">
        <w:rPr>
          <w:rFonts w:ascii="David" w:hAnsi="David"/>
          <w:b/>
          <w:bCs/>
          <w:rtl/>
        </w:rPr>
        <w:t xml:space="preserve"> (חלק כללי)... כך או כך, הן אם נקודת המוצא הינה כי נישואין מהווים חוזה והן אם נקודת המוצא היא כי נישואין הינם התחייבות אשר לוקח על עצמו הבעל, או גם האישה, מכל מקום תחול חובת תום הלב... זאת אף ביתר שאת נכוח כך שבין בעל ואישה יחסים מיוחדים, יחסי קרבה, יחסים רגישים. כאשר על כל אחד מבני הזוג מוטלת חובה לנהוג כלפי האחר בכבוד, בהגינות ובהתנהגות המאפשרת לבן הזוג ניהול של אורח חיים תקין וסביר". </w:t>
      </w:r>
    </w:p>
    <w:p w:rsidR="00F430D0" w:rsidRPr="00A25C86" w:rsidRDefault="00F430D0" w:rsidP="00F430D0">
      <w:pPr>
        <w:spacing w:line="360" w:lineRule="auto"/>
        <w:ind w:left="1417" w:hanging="720"/>
        <w:jc w:val="both"/>
        <w:rPr>
          <w:rFonts w:ascii="David" w:hAnsi="David"/>
          <w:b/>
          <w:bCs/>
          <w:rtl/>
        </w:rPr>
      </w:pPr>
      <w:r w:rsidRPr="00A25C86">
        <w:rPr>
          <w:rFonts w:ascii="David" w:hAnsi="David"/>
          <w:b/>
          <w:bCs/>
          <w:rtl/>
        </w:rPr>
        <w:t>66.</w:t>
      </w:r>
      <w:r w:rsidRPr="00A25C86">
        <w:rPr>
          <w:rFonts w:ascii="David" w:hAnsi="David"/>
          <w:b/>
          <w:bCs/>
          <w:rtl/>
        </w:rPr>
        <w:tab/>
        <w:t xml:space="preserve">ומהו אותו "יתר שאת" ו"יחסים מיוחדים" לה כיוונה כב' סגנית הנשיאה השופטת מימון בפרשת ב.ר. אם לא אותה חובה להגינות, לזהירות מוגברת וכו'? </w:t>
      </w:r>
    </w:p>
    <w:p w:rsidR="00F430D0" w:rsidRPr="00A25C86" w:rsidRDefault="00F430D0" w:rsidP="00F430D0">
      <w:pPr>
        <w:spacing w:line="360" w:lineRule="auto"/>
        <w:ind w:left="1440" w:hanging="789"/>
        <w:jc w:val="both"/>
        <w:rPr>
          <w:rFonts w:ascii="David" w:hAnsi="David"/>
          <w:rtl/>
        </w:rPr>
      </w:pPr>
      <w:r w:rsidRPr="00A25C86">
        <w:rPr>
          <w:rFonts w:ascii="David" w:hAnsi="David"/>
          <w:b/>
          <w:bCs/>
          <w:rtl/>
        </w:rPr>
        <w:lastRenderedPageBreak/>
        <w:t>67.</w:t>
      </w:r>
      <w:r w:rsidRPr="00A25C86">
        <w:rPr>
          <w:rFonts w:ascii="David" w:hAnsi="David"/>
          <w:rtl/>
        </w:rPr>
        <w:tab/>
      </w:r>
      <w:r w:rsidRPr="00A25C86">
        <w:rPr>
          <w:rFonts w:ascii="David" w:hAnsi="David"/>
          <w:b/>
          <w:bCs/>
          <w:rtl/>
        </w:rPr>
        <w:t xml:space="preserve">ולעניין חובת ההגינות פסקה נשיאת ביהמ"ש העליון כב' הנשיאה ד' ביניש, בבג"צ 518/07 </w:t>
      </w:r>
      <w:r w:rsidRPr="00A25C86">
        <w:rPr>
          <w:rFonts w:ascii="David" w:hAnsi="David"/>
          <w:b/>
          <w:bCs/>
          <w:u w:val="single"/>
          <w:rtl/>
        </w:rPr>
        <w:t>פלונית נ' בית הדין הרבני הגדול</w:t>
      </w:r>
      <w:r w:rsidRPr="00A25C86">
        <w:rPr>
          <w:rFonts w:ascii="David" w:hAnsi="David"/>
          <w:b/>
          <w:bCs/>
          <w:rtl/>
        </w:rPr>
        <w:t xml:space="preserve"> [פורסם בנבו] בפס' 38-39:</w:t>
      </w:r>
    </w:p>
    <w:p w:rsidR="00F430D0" w:rsidRPr="00A25C86" w:rsidRDefault="00F430D0" w:rsidP="00F430D0">
      <w:pPr>
        <w:spacing w:line="360" w:lineRule="auto"/>
        <w:ind w:left="1417" w:hanging="1417"/>
        <w:jc w:val="both"/>
        <w:rPr>
          <w:rFonts w:ascii="David" w:hAnsi="David"/>
          <w:b/>
          <w:bCs/>
          <w:rtl/>
        </w:rPr>
      </w:pPr>
      <w:r w:rsidRPr="00A25C86">
        <w:rPr>
          <w:rFonts w:ascii="David" w:hAnsi="David"/>
          <w:rtl/>
        </w:rPr>
        <w:tab/>
      </w:r>
      <w:r w:rsidRPr="00A25C86">
        <w:rPr>
          <w:rFonts w:ascii="David" w:hAnsi="David"/>
          <w:b/>
          <w:bCs/>
          <w:rtl/>
        </w:rPr>
        <w:t xml:space="preserve">"תחולתו של עקרון תום-הלב אינה מוגבלת לדיני החוזים והיא מתפרשת על כלל תחומי המשפט. בין היתר, חלק עקרון תום-הלב בתחום סדרי הדין האזרחיים. מהותה של חובת תום-הלב בתחום הדיוני היא כי על בעלי-הדין להפעיל את הזכויות והחיובים המעוגנים בכללי הפרוצדורה האזרחית בדרך מקובלת, ביושר ותוך הגינות בסיסית המתחייבת אף ביחסים שבין צדדים "יריבים" (ראו: אהרון </w:t>
      </w:r>
      <w:hyperlink r:id="rId14" w:history="1">
        <w:r w:rsidRPr="00A25C86">
          <w:rPr>
            <w:rStyle w:val="Hyperlink"/>
            <w:rFonts w:ascii="David" w:hAnsi="David"/>
            <w:b/>
            <w:bCs/>
            <w:rtl/>
          </w:rPr>
          <w:t>ברק פרשנות במשפט – פרשנות החקיקה</w:t>
        </w:r>
      </w:hyperlink>
      <w:r w:rsidRPr="00A25C86">
        <w:rPr>
          <w:rFonts w:ascii="David" w:hAnsi="David"/>
          <w:b/>
          <w:bCs/>
          <w:rtl/>
        </w:rPr>
        <w:t xml:space="preserve"> כרך ב' 550 (1993) (להלן: </w:t>
      </w:r>
      <w:hyperlink r:id="rId15" w:history="1">
        <w:r w:rsidRPr="00A25C86">
          <w:rPr>
            <w:rStyle w:val="Hyperlink"/>
            <w:rFonts w:ascii="David" w:hAnsi="David"/>
            <w:b/>
            <w:bCs/>
            <w:rtl/>
          </w:rPr>
          <w:t>ברק – פרשנות החקיקה</w:t>
        </w:r>
      </w:hyperlink>
      <w:r w:rsidRPr="00A25C86">
        <w:rPr>
          <w:rFonts w:ascii="David" w:hAnsi="David"/>
          <w:b/>
          <w:bCs/>
          <w:u w:val="single"/>
          <w:rtl/>
        </w:rPr>
        <w:t>;</w:t>
      </w:r>
      <w:r w:rsidRPr="00A25C86">
        <w:rPr>
          <w:rFonts w:ascii="David" w:hAnsi="David"/>
          <w:b/>
          <w:bCs/>
          <w:rtl/>
        </w:rPr>
        <w:t xml:space="preserve"> דודי שוורץ סדר דין אזרחי – חידושים, תהליכים ומגמות 73 ואילך (תשס"ז)). על בעלי הדין לפעול בסבירות ובהגינות במסגרת ניהול הליכי המשפט וזאת בהתחשב במכלול נסיבות העניין (ראו: בש"א 6479/06 בנק דיסקונט לישראל בע"מ נ' שנפ (טרם פורסם, [פורסם בנבו], 15.1.2007, פס' 4 והאסמכתאות המובאות שם)....</w:t>
      </w:r>
    </w:p>
    <w:p w:rsidR="00F430D0" w:rsidRDefault="00F430D0" w:rsidP="00F430D0">
      <w:pPr>
        <w:spacing w:line="360" w:lineRule="auto"/>
        <w:ind w:left="1417" w:hanging="1417"/>
        <w:jc w:val="both"/>
        <w:rPr>
          <w:rFonts w:ascii="David" w:hAnsi="David"/>
          <w:b/>
          <w:bCs/>
          <w:rtl/>
        </w:rPr>
      </w:pPr>
      <w:r w:rsidRPr="00A25C86">
        <w:rPr>
          <w:rFonts w:ascii="David" w:hAnsi="David"/>
          <w:b/>
          <w:bCs/>
          <w:rtl/>
        </w:rPr>
        <w:tab/>
        <w:t xml:space="preserve">ככלל, התפיסה המנחה בהקשר זה הינה כי השמירה על האינטרס האישי של בעל-דין צריכה להיעשות תוך התחשבות בציפיות הדיוניות המוצדקות של הצדדים האחרים להליך, ותוך מילוי חובותיו של בעל-דין כלפי בית-המשפט. יוער כי בדומה לעקרון –הלב, אף האיסור על ניצול לרעה של הליכי משפט מבוסס בעיקרו על אמת-מידה אובייקטיבית,  הנגזרת מרמת ההתנהגות המצופה והראויה בהתאם לנסיבותיו של כל מקרה. כוונותיו הסובייקטיביות של בעל-דין והשאלה אם פעל בזדון עשויה להשליך על המסקנה האם נעשה שימוש לרעה בהליכי משפט; עם זאת, אמת-המידה המרכזית בהקשר זה הינה סבירות והגינות, קרי – כיצד בעל דין סביר והגון היה נוהג בנסיבות המקרה". </w:t>
      </w:r>
      <w:r w:rsidRPr="00A25C86">
        <w:rPr>
          <w:rFonts w:ascii="David" w:hAnsi="David"/>
          <w:rtl/>
        </w:rPr>
        <w:t>(</w:t>
      </w:r>
      <w:r w:rsidRPr="00A25C86">
        <w:rPr>
          <w:rFonts w:ascii="David" w:hAnsi="David"/>
          <w:u w:val="single"/>
          <w:rtl/>
        </w:rPr>
        <w:t xml:space="preserve">תמ"ש (ת"א) 6935-08-12 </w:t>
      </w:r>
      <w:r w:rsidRPr="00A25C86">
        <w:rPr>
          <w:rFonts w:ascii="David" w:hAnsi="David"/>
          <w:b/>
          <w:bCs/>
          <w:rtl/>
        </w:rPr>
        <w:t>ג.</w:t>
      </w:r>
      <w:r w:rsidRPr="00A25C86">
        <w:rPr>
          <w:rFonts w:ascii="David" w:hAnsi="David"/>
          <w:rtl/>
        </w:rPr>
        <w:t xml:space="preserve"> נ' </w:t>
      </w:r>
      <w:r w:rsidRPr="00A25C86">
        <w:rPr>
          <w:rFonts w:ascii="David" w:hAnsi="David"/>
          <w:b/>
          <w:bCs/>
          <w:rtl/>
        </w:rPr>
        <w:t>ע</w:t>
      </w:r>
      <w:r w:rsidRPr="00A25C86">
        <w:rPr>
          <w:rFonts w:ascii="David" w:hAnsi="David"/>
          <w:rtl/>
        </w:rPr>
        <w:t>. 3/3/2013)</w:t>
      </w:r>
      <w:r>
        <w:rPr>
          <w:rFonts w:ascii="David" w:hAnsi="David" w:hint="cs"/>
          <w:b/>
          <w:bCs/>
          <w:rtl/>
        </w:rPr>
        <w:t>.</w:t>
      </w:r>
    </w:p>
    <w:p w:rsidR="00F430D0" w:rsidRDefault="00F430D0" w:rsidP="00F430D0">
      <w:pPr>
        <w:spacing w:line="360" w:lineRule="auto"/>
        <w:ind w:left="1417" w:hanging="1417"/>
        <w:jc w:val="both"/>
        <w:rPr>
          <w:rFonts w:ascii="David" w:hAnsi="David"/>
          <w:b/>
          <w:bCs/>
          <w:rtl/>
        </w:rPr>
      </w:pPr>
    </w:p>
    <w:p w:rsidR="00F430D0" w:rsidRPr="0015020E" w:rsidRDefault="00F430D0" w:rsidP="00F430D0">
      <w:pPr>
        <w:spacing w:line="360" w:lineRule="auto"/>
        <w:ind w:left="1417" w:hanging="1417"/>
        <w:jc w:val="both"/>
        <w:rPr>
          <w:rFonts w:ascii="David" w:hAnsi="David"/>
          <w:rtl/>
        </w:rPr>
      </w:pPr>
      <w:r w:rsidRPr="0015020E">
        <w:rPr>
          <w:rFonts w:ascii="David" w:hAnsi="David" w:hint="cs"/>
          <w:rtl/>
        </w:rPr>
        <w:t>9.</w:t>
      </w:r>
      <w:r w:rsidRPr="0015020E">
        <w:rPr>
          <w:rFonts w:ascii="David" w:hAnsi="David" w:hint="cs"/>
          <w:rtl/>
        </w:rPr>
        <w:tab/>
        <w:t>דברים אלו יפים לאופן ולעיתוי הגשת בקשת המבקש.</w:t>
      </w:r>
    </w:p>
    <w:p w:rsidR="00F430D0" w:rsidRPr="00A25C86" w:rsidRDefault="00F430D0" w:rsidP="00F430D0">
      <w:pPr>
        <w:spacing w:line="360" w:lineRule="auto"/>
        <w:ind w:left="1417" w:hanging="1417"/>
        <w:jc w:val="both"/>
        <w:rPr>
          <w:rFonts w:ascii="David" w:hAnsi="David"/>
          <w:b/>
          <w:bCs/>
          <w:rtl/>
        </w:rPr>
      </w:pPr>
    </w:p>
    <w:p w:rsidR="00F430D0" w:rsidRDefault="00F430D0" w:rsidP="00F430D0">
      <w:pPr>
        <w:spacing w:line="360" w:lineRule="auto"/>
        <w:ind w:left="720" w:hanging="720"/>
        <w:jc w:val="both"/>
        <w:rPr>
          <w:rFonts w:ascii="David" w:hAnsi="David"/>
          <w:rtl/>
        </w:rPr>
      </w:pPr>
      <w:r>
        <w:rPr>
          <w:rFonts w:ascii="David" w:hAnsi="David"/>
          <w:rtl/>
        </w:rPr>
        <w:t>9.</w:t>
      </w:r>
      <w:r>
        <w:rPr>
          <w:rFonts w:ascii="David" w:hAnsi="David"/>
          <w:rtl/>
        </w:rPr>
        <w:tab/>
        <w:t xml:space="preserve">צוין לעיל שהדיבור בניגוד לחוק הוא לכאורה. על שום מה? הקורא את מכתב הדרישה של רמ"י משנת 2018 עליו הסתמך המבקש מייחס לצדדים "שימוש חורג"  יש לא מעט עסקים שהעיסוק בהם אפשרי על ידי הגשת בקשה לשימוש </w:t>
      </w:r>
      <w:r>
        <w:rPr>
          <w:rFonts w:ascii="David" w:hAnsi="David" w:hint="cs"/>
          <w:rtl/>
        </w:rPr>
        <w:t>חריג</w:t>
      </w:r>
      <w:r>
        <w:rPr>
          <w:rFonts w:ascii="David" w:hAnsi="David"/>
          <w:rtl/>
        </w:rPr>
        <w:t xml:space="preserve"> מטעם הרשויות האמונות על כך. המבקש לא הניח תשתית ראייתית לכך שלא ניתן באמצעות בקשה לשימוש </w:t>
      </w:r>
      <w:r>
        <w:rPr>
          <w:rFonts w:ascii="David" w:hAnsi="David" w:hint="cs"/>
          <w:rtl/>
        </w:rPr>
        <w:t>חריג</w:t>
      </w:r>
      <w:r>
        <w:rPr>
          <w:rFonts w:ascii="David" w:hAnsi="David"/>
          <w:rtl/>
        </w:rPr>
        <w:t xml:space="preserve"> לאפשר את השימוש האסור ומנגד טענה המשיבה שהיא משלמת ארנונה למועצה כדין לשימוש זה ועל פי דרישת המועצה. ברי, שאין בעצם תשלום הארנונה להכשיר או ללמד על הסכמת רמ"י לכך אולם, כאמור, הדבר נתון לשיקול דעתה של רמ"י ואין בדעתי להידרש לכך שעה שרמ"י לא הגישה תובענה בעניין זה לבית המשפט המוסמך שייתן החלטתו בעניין.</w:t>
      </w:r>
    </w:p>
    <w:p w:rsidR="00F430D0" w:rsidRDefault="00F430D0" w:rsidP="00F430D0">
      <w:pPr>
        <w:spacing w:line="360" w:lineRule="auto"/>
        <w:ind w:left="720" w:hanging="720"/>
        <w:jc w:val="both"/>
        <w:rPr>
          <w:rFonts w:ascii="David" w:hAnsi="David"/>
          <w:rtl/>
        </w:rPr>
      </w:pPr>
    </w:p>
    <w:p w:rsidR="00F430D0" w:rsidRDefault="00F430D0" w:rsidP="00F430D0">
      <w:pPr>
        <w:spacing w:line="360" w:lineRule="auto"/>
        <w:ind w:left="720" w:hanging="720"/>
        <w:jc w:val="both"/>
        <w:rPr>
          <w:rFonts w:ascii="David" w:hAnsi="David"/>
          <w:rtl/>
        </w:rPr>
      </w:pPr>
      <w:r>
        <w:rPr>
          <w:rFonts w:ascii="David" w:hAnsi="David"/>
          <w:rtl/>
        </w:rPr>
        <w:tab/>
        <w:t xml:space="preserve">בהקשר זה ראוי להדגיש שגם ההפניה של המבקש לאותו סעיף 7(ו) להסכם בין הצדדים אינו תומך בגרסתו של המבקש. יש לקרוא מגבלה זו שלקחה על עצמה המשיבה בהסכם על פי מיקומה של האמירה </w:t>
      </w:r>
      <w:r>
        <w:rPr>
          <w:rFonts w:ascii="David" w:hAnsi="David" w:hint="cs"/>
          <w:rtl/>
        </w:rPr>
        <w:t xml:space="preserve">בנוסח הסעיף האמור </w:t>
      </w:r>
      <w:r>
        <w:rPr>
          <w:rFonts w:ascii="David" w:hAnsi="David"/>
          <w:rtl/>
        </w:rPr>
        <w:t>בהסכם. להלן נוסחו המלא של הסעיף "</w:t>
      </w:r>
      <w:r>
        <w:rPr>
          <w:rFonts w:ascii="David" w:hAnsi="David"/>
          <w:b/>
          <w:bCs/>
          <w:rtl/>
        </w:rPr>
        <w:t xml:space="preserve">האישה לא תאפשר לאף בן זוג להתגורר יחד עמה בבית או לשהות עמה בבית. כמו כן </w:t>
      </w:r>
      <w:r>
        <w:rPr>
          <w:rFonts w:ascii="David" w:hAnsi="David"/>
          <w:b/>
          <w:bCs/>
          <w:rtl/>
        </w:rPr>
        <w:lastRenderedPageBreak/>
        <w:t>האישה לא תקיים פעילות בלתי חוקית בבית ואף לא תאפשר לאף אדם,  לרבות בני משפחתה, מגורי קבע בבית. הוראה זו תחול על אבי האישה נ.ש.</w:t>
      </w:r>
      <w:r>
        <w:rPr>
          <w:rFonts w:ascii="David" w:hAnsi="David"/>
          <w:rtl/>
        </w:rPr>
        <w:t>" הקורא סעיף זה וכן את הפירוט המדוקדק של ההסכם בהקשר לבית מבין שלא זו הייתה כוונת הצדדים באמירה  "...</w:t>
      </w:r>
      <w:r>
        <w:rPr>
          <w:rFonts w:ascii="David" w:hAnsi="David"/>
          <w:b/>
          <w:bCs/>
          <w:rtl/>
        </w:rPr>
        <w:t>האישה לא תקיים פעילות בלתי חוקית בבית</w:t>
      </w:r>
      <w:r>
        <w:rPr>
          <w:rFonts w:ascii="David" w:hAnsi="David"/>
          <w:rtl/>
        </w:rPr>
        <w:t>..." ולו היה מדובר בעסקה של המשיבה בחנייה היו הדברים נכתבים מפורשות. הדברים לא מובאים בחלל ריק והם עולים מן ההסכם עצמו: בסעיף 9 סיפא להסכם נכתב מפורשות "</w:t>
      </w:r>
      <w:r>
        <w:rPr>
          <w:rFonts w:ascii="David" w:hAnsi="David"/>
          <w:b/>
          <w:bCs/>
          <w:rtl/>
        </w:rPr>
        <w:t>מוסכם כי ציוד מספרת חיות הבית המשמש לטיפול בחיות מחמד יישאר בבעלותה הבלעדית של האישה</w:t>
      </w:r>
      <w:r>
        <w:rPr>
          <w:rFonts w:ascii="David" w:hAnsi="David"/>
          <w:rtl/>
        </w:rPr>
        <w:t xml:space="preserve">".  </w:t>
      </w:r>
    </w:p>
    <w:p w:rsidR="00F430D0" w:rsidRDefault="00F430D0" w:rsidP="00F430D0">
      <w:pPr>
        <w:spacing w:line="360" w:lineRule="auto"/>
        <w:ind w:left="720" w:hanging="720"/>
        <w:jc w:val="both"/>
        <w:rPr>
          <w:rFonts w:ascii="David" w:hAnsi="David"/>
          <w:rtl/>
        </w:rPr>
      </w:pPr>
    </w:p>
    <w:p w:rsidR="00F430D0" w:rsidRDefault="00F430D0" w:rsidP="00F430D0">
      <w:pPr>
        <w:spacing w:line="360" w:lineRule="auto"/>
        <w:jc w:val="both"/>
        <w:rPr>
          <w:rFonts w:ascii="David" w:hAnsi="David"/>
          <w:rtl/>
        </w:rPr>
      </w:pPr>
      <w:r>
        <w:rPr>
          <w:rFonts w:ascii="David" w:hAnsi="David"/>
          <w:rtl/>
        </w:rPr>
        <w:t>10.</w:t>
      </w:r>
      <w:r>
        <w:rPr>
          <w:rFonts w:ascii="David" w:hAnsi="David"/>
          <w:rtl/>
        </w:rPr>
        <w:tab/>
        <w:t>לאור המקובץ והמובא לעיל הבקשה נדחית.</w:t>
      </w:r>
    </w:p>
    <w:p w:rsidR="00F430D0" w:rsidRDefault="00F430D0" w:rsidP="00F430D0">
      <w:pPr>
        <w:spacing w:line="360" w:lineRule="auto"/>
        <w:jc w:val="both"/>
        <w:rPr>
          <w:rFonts w:ascii="David" w:hAnsi="David"/>
          <w:rtl/>
        </w:rPr>
      </w:pPr>
    </w:p>
    <w:p w:rsidR="00F430D0" w:rsidRDefault="00F430D0" w:rsidP="00F430D0">
      <w:pPr>
        <w:spacing w:line="360" w:lineRule="auto"/>
        <w:jc w:val="both"/>
        <w:rPr>
          <w:rFonts w:ascii="David" w:hAnsi="David"/>
          <w:rtl/>
        </w:rPr>
      </w:pPr>
      <w:r>
        <w:rPr>
          <w:rFonts w:ascii="David" w:hAnsi="David"/>
          <w:rtl/>
        </w:rPr>
        <w:t>11.</w:t>
      </w:r>
      <w:r>
        <w:rPr>
          <w:rFonts w:ascii="David" w:hAnsi="David"/>
          <w:rtl/>
        </w:rPr>
        <w:tab/>
        <w:t>המבקש יישא בהוצאות המשיבה בסך 5,000</w:t>
      </w:r>
      <w:r>
        <w:rPr>
          <w:rFonts w:ascii="David" w:hAnsi="David" w:hint="cs"/>
          <w:rtl/>
        </w:rPr>
        <w:t xml:space="preserve"> ₪ </w:t>
      </w:r>
      <w:r>
        <w:rPr>
          <w:rFonts w:ascii="David" w:hAnsi="David"/>
          <w:rtl/>
        </w:rPr>
        <w:t>.</w:t>
      </w:r>
    </w:p>
    <w:p w:rsidR="00F430D0" w:rsidRDefault="00F430D0" w:rsidP="00F430D0">
      <w:pPr>
        <w:spacing w:line="360" w:lineRule="auto"/>
        <w:jc w:val="both"/>
        <w:rPr>
          <w:rFonts w:ascii="David" w:hAnsi="David"/>
          <w:rtl/>
        </w:rPr>
      </w:pPr>
    </w:p>
    <w:p w:rsidR="00F430D0" w:rsidRDefault="00F430D0" w:rsidP="00F430D0">
      <w:pPr>
        <w:spacing w:line="360" w:lineRule="auto"/>
        <w:jc w:val="both"/>
        <w:rPr>
          <w:rFonts w:ascii="David" w:hAnsi="David"/>
          <w:rtl/>
        </w:rPr>
      </w:pPr>
      <w:r>
        <w:rPr>
          <w:rFonts w:ascii="David" w:hAnsi="David"/>
          <w:rtl/>
        </w:rPr>
        <w:t>12.</w:t>
      </w:r>
      <w:r>
        <w:rPr>
          <w:rFonts w:ascii="David" w:hAnsi="David"/>
          <w:rtl/>
        </w:rPr>
        <w:tab/>
        <w:t>מתיר פרסום ההחלטה בהשמטת פרטים מזהים.</w:t>
      </w:r>
    </w:p>
    <w:p w:rsidR="00F430D0" w:rsidRDefault="00F430D0" w:rsidP="00F430D0">
      <w:pPr>
        <w:spacing w:line="360" w:lineRule="auto"/>
        <w:jc w:val="both"/>
        <w:rPr>
          <w:rFonts w:ascii="David" w:hAnsi="David"/>
          <w:rtl/>
        </w:rPr>
      </w:pPr>
    </w:p>
    <w:p w:rsidR="00F430D0" w:rsidRDefault="00F430D0" w:rsidP="00F430D0">
      <w:pPr>
        <w:spacing w:line="360" w:lineRule="auto"/>
        <w:jc w:val="both"/>
        <w:rPr>
          <w:rFonts w:ascii="David" w:hAnsi="David"/>
          <w:rtl/>
        </w:rPr>
      </w:pPr>
      <w:r>
        <w:rPr>
          <w:rFonts w:ascii="David" w:hAnsi="David"/>
          <w:rtl/>
        </w:rPr>
        <w:t>13.</w:t>
      </w:r>
      <w:r>
        <w:rPr>
          <w:rFonts w:ascii="David" w:hAnsi="David"/>
          <w:rtl/>
        </w:rPr>
        <w:tab/>
        <w:t>תואיל המזכירות לשלוח ההחלטה לצדדים ולסגור הבקשה.</w:t>
      </w:r>
    </w:p>
    <w:p w:rsidR="00F430D0" w:rsidRDefault="00F430D0" w:rsidP="00F430D0">
      <w:pPr>
        <w:spacing w:line="360" w:lineRule="auto"/>
        <w:jc w:val="both"/>
        <w:rPr>
          <w:rFonts w:ascii="David" w:hAnsi="David"/>
          <w:rtl/>
        </w:rPr>
      </w:pPr>
    </w:p>
    <w:p w:rsidR="00F430D0" w:rsidRPr="00DE1E7D" w:rsidRDefault="00F430D0" w:rsidP="00F430D0">
      <w:pPr>
        <w:spacing w:line="360" w:lineRule="auto"/>
        <w:jc w:val="both"/>
        <w:rPr>
          <w:rFonts w:ascii="Arial" w:hAnsi="Arial"/>
          <w:noProof w:val="0"/>
          <w:rtl/>
        </w:rPr>
      </w:pPr>
    </w:p>
    <w:p w:rsidR="00F430D0" w:rsidRPr="00DE1E7D" w:rsidRDefault="00F430D0" w:rsidP="00F430D0">
      <w:pPr>
        <w:spacing w:line="360" w:lineRule="auto"/>
        <w:jc w:val="both"/>
        <w:rPr>
          <w:rFonts w:ascii="Arial" w:hAnsi="Arial"/>
          <w:noProof w:val="0"/>
          <w:rtl/>
        </w:rPr>
      </w:pPr>
    </w:p>
    <w:p w:rsidR="00F430D0" w:rsidRPr="00DE1E7D" w:rsidRDefault="00F430D0" w:rsidP="00F430D0">
      <w:pPr>
        <w:spacing w:line="360" w:lineRule="auto"/>
        <w:jc w:val="both"/>
        <w:rPr>
          <w:rFonts w:ascii="Arial" w:hAnsi="Arial"/>
          <w:noProof w:val="0"/>
          <w:rtl/>
        </w:rPr>
      </w:pPr>
    </w:p>
    <w:p w:rsidR="00F430D0" w:rsidRDefault="00F430D0" w:rsidP="00F430D0">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שבט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פברואר 2024</w:t>
          </w:r>
        </w:sdtContent>
      </w:sdt>
      <w:r>
        <w:rPr>
          <w:rFonts w:ascii="Arial" w:hAnsi="Arial"/>
          <w:noProof w:val="0"/>
          <w:rtl/>
        </w:rPr>
        <w:t>, בהעדר הצדדים.</w:t>
      </w:r>
    </w:p>
    <w:p w:rsidR="00F430D0" w:rsidRDefault="009C3056" w:rsidP="00F430D0">
      <w:pPr>
        <w:tabs>
          <w:tab w:val="left" w:pos="2553"/>
        </w:tabs>
        <w:ind w:left="5040"/>
        <w:rPr>
          <w:rtl/>
        </w:rPr>
      </w:pPr>
      <w:sdt>
        <w:sdtPr>
          <w:rPr>
            <w:rFonts w:hint="cs"/>
            <w:rtl/>
          </w:rPr>
          <w:alias w:val="2045"/>
          <w:tag w:val="2045"/>
          <w:id w:val="740689340"/>
          <w:placeholder>
            <w:docPart w:val="C2F23C8BC24F407494BB0491754A96E4"/>
          </w:placeholder>
          <w:showingPlcHdr/>
          <w:text w:multiLine="1"/>
        </w:sdtPr>
        <w:sdtEndPr/>
        <w:sdtContent>
          <w:r w:rsidR="00F430D0">
            <w:rPr>
              <w:rFonts w:hint="cs"/>
              <w:rtl/>
            </w:rPr>
            <w:t xml:space="preserve">     </w:t>
          </w:r>
        </w:sdtContent>
      </w:sdt>
    </w:p>
    <w:p w:rsidR="00F430D0" w:rsidRDefault="00F430D0" w:rsidP="00F430D0">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52062017"/>
        </w:sdtPr>
        <w:sdtEndPr/>
        <w:sdtContent>
          <w:r>
            <w:drawing>
              <wp:inline distT="0" distB="0" distL="0" distR="0" wp14:anchorId="15C02FC9" wp14:editId="08F5F1A3">
                <wp:extent cx="1685925"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685925" cy="1009649"/>
                        </a:xfrm>
                        <a:prstGeom prst="rect">
                          <a:avLst/>
                        </a:prstGeom>
                      </pic:spPr>
                    </pic:pic>
                  </a:graphicData>
                </a:graphic>
              </wp:inline>
            </w:drawing>
          </w:r>
        </w:sdtContent>
      </w:sdt>
    </w:p>
    <w:p w:rsidR="00F430D0" w:rsidRDefault="00F430D0" w:rsidP="00F430D0">
      <w:pPr>
        <w:tabs>
          <w:tab w:val="left" w:pos="2553"/>
        </w:tabs>
        <w:rPr>
          <w:rFonts w:ascii="Arial" w:hAnsi="Arial"/>
          <w:noProof w:val="0"/>
          <w:rtl/>
        </w:rPr>
      </w:pPr>
    </w:p>
    <w:p w:rsidR="00512360" w:rsidRDefault="00512360"/>
    <w:sectPr w:rsidR="00512360"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0D0"/>
    <w:rsid w:val="000B18AB"/>
    <w:rsid w:val="00512360"/>
    <w:rsid w:val="009C3056"/>
    <w:rsid w:val="00C11DC6"/>
    <w:rsid w:val="00F430D0"/>
    <w:rsid w:val="00F7160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7F3F04-942F-4241-B72C-C8BC5417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0D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430D0"/>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F430D0"/>
    <w:rPr>
      <w:color w:val="0000FF"/>
      <w:u w:val="single"/>
    </w:rPr>
  </w:style>
  <w:style w:type="paragraph" w:styleId="a4">
    <w:name w:val="header"/>
    <w:basedOn w:val="a"/>
    <w:link w:val="a5"/>
    <w:rsid w:val="00F430D0"/>
    <w:pPr>
      <w:tabs>
        <w:tab w:val="center" w:pos="4153"/>
        <w:tab w:val="right" w:pos="8306"/>
      </w:tabs>
    </w:pPr>
  </w:style>
  <w:style w:type="character" w:customStyle="1" w:styleId="a5">
    <w:name w:val="כותרת עליונה תו"/>
    <w:basedOn w:val="a0"/>
    <w:link w:val="a4"/>
    <w:rsid w:val="00F430D0"/>
    <w:rPr>
      <w:rFonts w:ascii="Times New Roman" w:eastAsia="Times New Roman" w:hAnsi="Times New Roman" w:cs="David"/>
      <w:noProof/>
      <w:sz w:val="24"/>
      <w:szCs w:val="24"/>
    </w:rPr>
  </w:style>
  <w:style w:type="paragraph" w:styleId="NormalWeb">
    <w:name w:val="Normal (Web)"/>
    <w:basedOn w:val="a"/>
    <w:uiPriority w:val="99"/>
    <w:semiHidden/>
    <w:unhideWhenUsed/>
    <w:rsid w:val="00F430D0"/>
    <w:pPr>
      <w:bidi w:val="0"/>
      <w:spacing w:before="100" w:beforeAutospacing="1" w:after="100" w:afterAutospacing="1"/>
    </w:pPr>
    <w:rPr>
      <w:rFonts w:eastAsiaTheme="minorEastAsia" w:cs="Times New Roman"/>
      <w:noProof w:val="0"/>
    </w:rPr>
  </w:style>
  <w:style w:type="paragraph" w:styleId="a6">
    <w:name w:val="Balloon Text"/>
    <w:basedOn w:val="a"/>
    <w:link w:val="a7"/>
    <w:uiPriority w:val="99"/>
    <w:semiHidden/>
    <w:unhideWhenUsed/>
    <w:rsid w:val="00F430D0"/>
    <w:rPr>
      <w:rFonts w:ascii="Tahoma" w:hAnsi="Tahoma" w:cs="Tahoma"/>
      <w:sz w:val="18"/>
      <w:szCs w:val="18"/>
    </w:rPr>
  </w:style>
  <w:style w:type="character" w:customStyle="1" w:styleId="a7">
    <w:name w:val="טקסט בלונים תו"/>
    <w:basedOn w:val="a0"/>
    <w:link w:val="a6"/>
    <w:uiPriority w:val="99"/>
    <w:semiHidden/>
    <w:rsid w:val="00F430D0"/>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17913814" TargetMode="External"/><Relationship Id="rId13" Type="http://schemas.openxmlformats.org/officeDocument/2006/relationships/hyperlink" Target="http://www.nevo.co.il/law/71888" TargetMode="External"/><Relationship Id="rId1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http://www.nevo.co.il/case/6061092" TargetMode="External"/><Relationship Id="rId12" Type="http://schemas.openxmlformats.org/officeDocument/2006/relationships/hyperlink" Target="http://www.nevo.co.il/case/2382751"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2.jpg"/><Relationship Id="rId1" Type="http://schemas.openxmlformats.org/officeDocument/2006/relationships/styles" Target="styles.xml"/><Relationship Id="rId6" Type="http://schemas.openxmlformats.org/officeDocument/2006/relationships/hyperlink" Target="http://www.nevo.co.il/law/71888" TargetMode="External"/><Relationship Id="rId11" Type="http://schemas.openxmlformats.org/officeDocument/2006/relationships/hyperlink" Target="http://www.nevo.co.il/case/6090044" TargetMode="External"/><Relationship Id="rId5" Type="http://schemas.openxmlformats.org/officeDocument/2006/relationships/hyperlink" Target="http://www.nevo.co.il/case/6230693" TargetMode="External"/><Relationship Id="rId15" Type="http://schemas.openxmlformats.org/officeDocument/2006/relationships/hyperlink" Target="http://www.nevo.co.il/safrut/bookgroup/358" TargetMode="External"/><Relationship Id="rId10" Type="http://schemas.openxmlformats.org/officeDocument/2006/relationships/hyperlink" Target="http://www.nevo.co.il/case/6245617" TargetMode="External"/><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www.nevo.co.il/law/71888" TargetMode="External"/><Relationship Id="rId14" Type="http://schemas.openxmlformats.org/officeDocument/2006/relationships/hyperlink" Target="http://www.nevo.co.il/safrut/bookgroup/35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F23C8BC24F407494BB0491754A96E4"/>
        <w:category>
          <w:name w:val="כללי"/>
          <w:gallery w:val="placeholder"/>
        </w:category>
        <w:types>
          <w:type w:val="bbPlcHdr"/>
        </w:types>
        <w:behaviors>
          <w:behavior w:val="content"/>
        </w:behaviors>
        <w:guid w:val="{8A75C368-0F92-489B-AB37-842744BB51D5}"/>
      </w:docPartPr>
      <w:docPartBody>
        <w:p w:rsidR="00E8606A" w:rsidRDefault="00BB4896" w:rsidP="00BB4896">
          <w:pPr>
            <w:pStyle w:val="C2F23C8BC24F407494BB0491754A96E4"/>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896"/>
    <w:rsid w:val="003C0B94"/>
    <w:rsid w:val="00B1493F"/>
    <w:rsid w:val="00BB4896"/>
    <w:rsid w:val="00E860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F23C8BC24F407494BB0491754A96E4">
    <w:name w:val="C2F23C8BC24F407494BB0491754A96E4"/>
    <w:rsid w:val="00BB489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2268</Words>
  <Characters>11342</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cp:lastPrinted>2024-05-21T09:32:00Z</cp:lastPrinted>
  <dcterms:created xsi:type="dcterms:W3CDTF">2024-05-22T05:29:00Z</dcterms:created>
  <dcterms:modified xsi:type="dcterms:W3CDTF">2024-05-22T05:29:00Z</dcterms:modified>
</cp:coreProperties>
</file>